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Report del seminario </w:t>
      </w:r>
      <w:r w:rsidDel="00000000" w:rsidR="00000000" w:rsidRPr="00000000">
        <w:rPr>
          <w:rFonts w:ascii="Lora" w:cs="Lora" w:eastAsia="Lora" w:hAnsi="Lora"/>
          <w:sz w:val="22"/>
          <w:szCs w:val="22"/>
          <w:rtl w:val="0"/>
        </w:rPr>
        <w:t xml:space="preserve">del 24/05/2022</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8"/>
          <w:szCs w:val="28"/>
        </w:rPr>
      </w:pPr>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Competenze e saperi: la necessaria sfida alle innovazioni sociali</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4">
      <w:pPr>
        <w:rPr>
          <w:sz w:val="34"/>
          <w:szCs w:val="34"/>
        </w:rPr>
      </w:pPr>
      <w:r w:rsidDel="00000000" w:rsidR="00000000" w:rsidRPr="00000000">
        <w:rPr>
          <w:rtl w:val="0"/>
        </w:rPr>
      </w:r>
    </w:p>
    <w:p w:rsidR="00000000" w:rsidDel="00000000" w:rsidP="00000000" w:rsidRDefault="00000000" w:rsidRPr="00000000" w14:paraId="00000005">
      <w:pPr>
        <w:jc w:val="both"/>
        <w:rPr>
          <w:rFonts w:ascii="Lora" w:cs="Lora" w:eastAsia="Lora" w:hAnsi="Lora"/>
        </w:rPr>
      </w:pPr>
      <w:r w:rsidDel="00000000" w:rsidR="00000000" w:rsidRPr="00000000">
        <w:rPr>
          <w:rFonts w:ascii="Lora" w:cs="Lora" w:eastAsia="Lora" w:hAnsi="Lora"/>
          <w:rtl w:val="0"/>
        </w:rPr>
        <w:t xml:space="preserve">I paesaggi dell’oliveto laziale, considerati nel loro complesso, presentano un’enorme diversità strutturale, agronomica e produttiva che persiste, seppure in misura diversa, in qualunque ambito territoriale considerato (provinciale, distrettuale, comunale) (Marini E. 2018).</w:t>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E' necessario e possibile, pertanto distinguere varie tipologie di paesaggi olivicoli  in base alle caratteristiche dell'ambiente fisico: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u w:val="none"/>
          <w:shd w:fill="auto" w:val="clear"/>
          <w:vertAlign w:val="baseline"/>
          <w:rtl w:val="0"/>
        </w:rPr>
        <w:t xml:space="preserve">oliveto di campagna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u w:val="none"/>
          <w:shd w:fill="auto" w:val="clear"/>
          <w:vertAlign w:val="baseline"/>
          <w:rtl w:val="0"/>
        </w:rPr>
        <w:t xml:space="preserve">oliveto su colline sedimentarie oliveto di collina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u w:val="none"/>
          <w:shd w:fill="auto" w:val="clear"/>
          <w:vertAlign w:val="baseline"/>
          <w:rtl w:val="0"/>
        </w:rPr>
        <w:t xml:space="preserve">oliveto su pianure, colline e colline di varia litologia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u w:val="none"/>
          <w:shd w:fill="auto" w:val="clear"/>
          <w:vertAlign w:val="baseline"/>
          <w:rtl w:val="0"/>
        </w:rPr>
        <w:t xml:space="preserve">oliveti della catena montuosa </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E' quindi necessario e fondamentale - e questo è uno degli aspetti e degli elementi "di condensazione" emersi con maggiore forza durante il seminario laboratoriale dello scorso 24 maggio promosso dall'Associazione REV Green -  evidenziare come il binomio filiera olivicola/paesaggio rurale sia caratterizzato da differenti sfumature della coltivazione dell'olivo, alcune delle quali molto evidenti e determinanti, altre parziali ma estremamente attecchite e plasmanti il paesaggio. </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Sfumature che  riflettono non solo  profonde differenze agronomiche e territoriali, ma sono espressione di specificità culturali, organizzative, economiche e sociali.</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Nonostante questa diversità, risulta evidente e forte la presenza di un sostrato, di un humus produttivo, fisico ed immateriale in cui si condensano in termini trasversali e comuni gli elementi, i fattori che esprimono forma, sostanza e potenza di una filiera.</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Valori estetici: la capacità di un paesaggio di trasmettere un'idea, una suggest sensazione di bellezza. Questi fattori costituiscono una dimensione aggregata, inscindibile ed eccedente con altri elementi ed altre dinamiche di carattere culturale. Si tratta in questo caso di aree olivicole dalla spiccata valenza ed attrattività estetica.</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Valori produttivi: capacità di un paesaggio di tramutare le proprie caratteristiche/specificità in benefici economici, convertendo i suoi elementi in risorse.</w:t>
      </w:r>
    </w:p>
    <w:p w:rsidR="00000000" w:rsidDel="00000000" w:rsidP="00000000" w:rsidRDefault="00000000" w:rsidRPr="00000000" w14:paraId="00000010">
      <w:pPr>
        <w:jc w:val="both"/>
        <w:rPr>
          <w:rFonts w:ascii="Lora" w:cs="Lora" w:eastAsia="Lora" w:hAnsi="Lora"/>
        </w:rPr>
      </w:pPr>
      <w:r w:rsidDel="00000000" w:rsidR="00000000" w:rsidRPr="00000000">
        <w:rPr>
          <w:rtl w:val="0"/>
        </w:rPr>
      </w:r>
    </w:p>
    <w:p w:rsidR="00000000" w:rsidDel="00000000" w:rsidP="00000000" w:rsidRDefault="00000000" w:rsidRPr="00000000" w14:paraId="00000011">
      <w:pPr>
        <w:jc w:val="both"/>
        <w:rPr>
          <w:rFonts w:ascii="Lora" w:cs="Lora" w:eastAsia="Lora" w:hAnsi="Lora"/>
        </w:rPr>
      </w:pPr>
      <w:r w:rsidDel="00000000" w:rsidR="00000000" w:rsidRPr="00000000">
        <w:rPr>
          <w:rtl w:val="0"/>
        </w:rPr>
      </w:r>
    </w:p>
    <w:p w:rsidR="00000000" w:rsidDel="00000000" w:rsidP="00000000" w:rsidRDefault="00000000" w:rsidRPr="00000000" w14:paraId="00000012">
      <w:pPr>
        <w:jc w:val="both"/>
        <w:rPr>
          <w:rFonts w:ascii="Lora" w:cs="Lora" w:eastAsia="Lora" w:hAnsi="Lora"/>
        </w:rPr>
      </w:pPr>
      <w:r w:rsidDel="00000000" w:rsidR="00000000" w:rsidRPr="00000000">
        <w:rPr>
          <w:rtl w:val="0"/>
        </w:rPr>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Valori storici: gli oliveti mantengono viva un'eredità culturale secolare che riflette le tracce (impronte) più rilevanti che i diversi popoli hanno lasciato su questo paesaggio nel corso della storia.</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Valori d'uso sociale: l'uso che un individuo o un sistema sociale fa di un paesaggio. Gli oliveti sono paesaggi agricoli che, a differenza degli spazi modellati dalla natura (rupi, calanchi, avvallamenti) o intenzionalmente disegnati dall'uomo (parchi e giardini), coniugano indissolubilmente fisionomia e funzionalità.</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Valori simbolici e identitari: corrispondono all'identificazione che un certo gruppo codifica e riconosce in un paesaggio.</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Tutto ciò considerato e partendo  da un approccio consuetudinariamente settato sulla lettura e l'interpretazione  del territorio come risorsa, ergo in termini funzionalistici ed esclusivamente produttivi, risulta fondamentale considera e porre al centro dell'analisi e delle traiettorie future connesse allo sviluppo rurale dell'areale, un uso  intelligente e multifunzionale  del capitale territoriale.</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Le strategie  di sviluppo rurale devono necessariamente includere nei loro assi e processi di intervento una valorizzazione ed un'interpretazione multifunzionale ed intra-settoriale di tale capitale. </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Il territorio è, e soprattutto deve essere, allo stesso tempo, fattore di identità locale, generatore e moltiplicatore di ricchezza e di occupazione, di diversificazione produttiva, di organizzazione e coesione sociale, di innovazione, di qualità, di produzione e gestione di beni pubblici, di offerta di beni e di servizi culturali, ecc. Si tratta, insomma, di una risorsa multifunzionale che integra elementi - in termini costituenti, dialettici e sostanziali - al fine </w:t>
      </w:r>
      <w:r w:rsidDel="00000000" w:rsidR="00000000" w:rsidRPr="00000000">
        <w:rPr>
          <w:rFonts w:ascii="Lora" w:cs="Lora" w:eastAsia="Lora" w:hAnsi="Lora"/>
          <w:rtl w:val="0"/>
        </w:rPr>
        <w:t xml:space="preserve">di  favorire</w:t>
      </w:r>
      <w:r w:rsidDel="00000000" w:rsidR="00000000" w:rsidRPr="00000000">
        <w:rPr>
          <w:rFonts w:ascii="Lora" w:cs="Lora" w:eastAsia="Lora" w:hAnsi="Lora"/>
          <w:rtl w:val="0"/>
        </w:rPr>
        <w:t xml:space="preserve"> e promuovere lo sviluppo integrato del territorio.</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Molte delle analisi, dei contribuiti, degli interventi e delle relazioni che hanno arricchito il seminario promosso da REV Green lo scorso 24 maggio, seppur nelle singolarità, parzialità, soggettività di ciascuno, hanno evidenziato un interessante e fondamentale trait d'union: una necessità, una connaturata tensione, ad integrare, a ricondurre il fisiologico piano di analisi, studio, elaborazione e sviluppo parziale/soggettivo ad uno schema, un'elaborazione, una lettura sistemica del settore e delle dinamiche socio-economiche del binomio filiera-paesaggio.</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Spunti e contributi, quelli del 24 maggio, forniti e condivisi sia dai relatori che dai partecipanti, che trovano formidabile ed interessantissima complementarità con molte delle analisi e degli studi prodotti dal CREA e da Rete Rurale negli ultimi anni.</w:t>
      </w:r>
    </w:p>
    <w:p w:rsidR="00000000" w:rsidDel="00000000" w:rsidP="00000000" w:rsidRDefault="00000000" w:rsidRPr="00000000" w14:paraId="0000001B">
      <w:pPr>
        <w:jc w:val="both"/>
        <w:rPr>
          <w:rFonts w:ascii="Lora" w:cs="Lora" w:eastAsia="Lora" w:hAnsi="Lora"/>
        </w:rPr>
      </w:pPr>
      <w:r w:rsidDel="00000000" w:rsidR="00000000" w:rsidRPr="00000000">
        <w:rPr>
          <w:rtl w:val="0"/>
        </w:rPr>
      </w:r>
    </w:p>
    <w:p w:rsidR="00000000" w:rsidDel="00000000" w:rsidP="00000000" w:rsidRDefault="00000000" w:rsidRPr="00000000" w14:paraId="0000001C">
      <w:pPr>
        <w:jc w:val="both"/>
        <w:rPr>
          <w:rFonts w:ascii="Lora" w:cs="Lora" w:eastAsia="Lora" w:hAnsi="Lora"/>
        </w:rPr>
      </w:pPr>
      <w:r w:rsidDel="00000000" w:rsidR="00000000" w:rsidRPr="00000000">
        <w:rPr>
          <w:rtl w:val="0"/>
        </w:rPr>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Riteniamo fondamentale sottolineare e dare estrema importanza a questo dato poiché evidenzia la stretta e inscindibile connessione, reciproco rafforzamento e complementarietà in termini di potenza e funzione, tra i processi bottom up e le dinamiche top down. E soprattutto un'evidenza </w:t>
      </w:r>
      <w:r w:rsidDel="00000000" w:rsidR="00000000" w:rsidRPr="00000000">
        <w:rPr>
          <w:rFonts w:ascii="Lora" w:cs="Lora" w:eastAsia="Lora" w:hAnsi="Lora"/>
          <w:rtl w:val="0"/>
        </w:rPr>
        <w:t xml:space="preserve">dell'imprescindibile</w:t>
      </w:r>
      <w:r w:rsidDel="00000000" w:rsidR="00000000" w:rsidRPr="00000000">
        <w:rPr>
          <w:rFonts w:ascii="Lora" w:cs="Lora" w:eastAsia="Lora" w:hAnsi="Lora"/>
          <w:rtl w:val="0"/>
        </w:rPr>
        <w:t xml:space="preserve"> necessità di trasformare le singolarità, le pieghe in uno spartito organizzato, sistemico ed in grado di esprimere le sfumature, le unicità, le eccellenze della nostra ruralità. Che trovano espressione, forma e condensazione nel paesaggio rurale; partendo da quello olivicolo-oleario.</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Proprio partendo da queste considerazioni riteniamo utile chiudere questo report del primo incontro dei 14 previsti e calendarizzati dal progetto "Agrifood chain storytelling", promosso dall'Associazione REV Green e volto ad informare e promuovere l'innovazione sociale sul territorio del GAL Terre di Argil, con una considerazione - fortemente condivisa e continuativamente ripresa dai vari interventi che hanno animato il laboratorio dello scorso 24 maggio - che è anche passo di apertura nel Report "LA COMPETITIVITÀ DELLA FILIERA OLIVICOLA. Analisi della redditività e fattori determinanti" a cura di ISMEA e del MIPAAF".</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Un passaggio che, pur partendo dalla centralità della produzione e della filiera, sottolinea l'imprescindibile connessione della stessa con il "paesaggio", al fine di valorizzare e caratterizzare le nostre produzioni sui mercati globali. L'unicità dei nostri territori è una cruciale leva per rafforzare il nostro tessuto produttivo.</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Il settore dell’olio di oliva italiano sta attraversando, ormai da qualche tempo, difficoltà strutturali e commerciali nonostante la qualità delle sue produzioni. In tema di mercato l’Italia subisce la concorrenza della Spagna soprattutto per i prodotti di massa, mentre riesce a sganciarsi dalle dinamiche del mercato spagnolo sull’olio extravergine di maggiore qualità.</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È indubbio che il settore necessiti di una nuova spinta che sposti il baricentro ancora di più verso la qualità delle produzioni, per migliorare la competitività, salvaguardando allo stesso tempo il ruolo dell’olivicoltura che rende unici alcuni territori italiani.</w:t>
      </w:r>
    </w:p>
    <w:p w:rsidR="00000000" w:rsidDel="00000000" w:rsidP="00000000" w:rsidRDefault="00000000" w:rsidRPr="00000000" w14:paraId="00000022">
      <w:pPr>
        <w:jc w:val="both"/>
        <w:rPr>
          <w:rFonts w:ascii="Lora" w:cs="Lora" w:eastAsia="Lora" w:hAnsi="Lora"/>
        </w:rPr>
      </w:pPr>
      <w:r w:rsidDel="00000000" w:rsidR="00000000" w:rsidRPr="00000000">
        <w:rPr>
          <w:rFonts w:ascii="Lora" w:cs="Lora" w:eastAsia="Lora" w:hAnsi="Lora"/>
          <w:rtl w:val="0"/>
        </w:rPr>
        <w:t xml:space="preserve">Alla vigilia di un’importante riforma delle politiche comunitarie per l’agricoltura e più in generale per il ruolo del settore primario in un contesto di sostenibilità economica, ambientale e sociale, è opportuno esaminare una serie di nodi irrisolti che caratterizzano l’olivicoltura nazionale. </w:t>
      </w:r>
    </w:p>
    <w:p w:rsidR="00000000" w:rsidDel="00000000" w:rsidP="00000000" w:rsidRDefault="00000000" w:rsidRPr="00000000" w14:paraId="00000023">
      <w:pPr>
        <w:jc w:val="both"/>
        <w:rPr>
          <w:rFonts w:ascii="Lora" w:cs="Lora" w:eastAsia="Lora" w:hAnsi="Lora"/>
        </w:rPr>
      </w:pPr>
      <w:bookmarkStart w:colFirst="0" w:colLast="0" w:name="_heading=h.gjdgxs" w:id="1"/>
      <w:bookmarkEnd w:id="1"/>
      <w:r w:rsidDel="00000000" w:rsidR="00000000" w:rsidRPr="00000000">
        <w:rPr>
          <w:rFonts w:ascii="Lora" w:cs="Lora" w:eastAsia="Lora" w:hAnsi="Lora"/>
          <w:rtl w:val="0"/>
        </w:rPr>
        <w:t xml:space="preserve">Questo in un quadro che vede l’Italia protagonista a tutto tondo nell’economia mondiale del settore, con un ruolo che non solo va consolidato ma, se possibile, accresciuto.</w:t>
      </w:r>
    </w:p>
    <w:sectPr>
      <w:headerReference r:id="rId7" w:type="default"/>
      <w:footerReference r:id="rId8" w:type="default"/>
      <w:pgSz w:h="16838" w:w="11906" w:orient="portrait"/>
      <w:pgMar w:bottom="1134" w:top="1417" w:left="1134" w:right="1134" w:header="56.69291338582678"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266700</wp:posOffset>
          </wp:positionV>
          <wp:extent cx="3037523" cy="373466"/>
          <wp:effectExtent b="0" l="0" r="0" t="0"/>
          <wp:wrapNone/>
          <wp:docPr id="1" name="image2.jpg"/>
          <a:graphic>
            <a:graphicData uri="http://schemas.openxmlformats.org/drawingml/2006/picture">
              <pic:pic>
                <pic:nvPicPr>
                  <pic:cNvPr id="0" name="image2.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5486400</wp:posOffset>
          </wp:positionH>
          <wp:positionV relativeFrom="paragraph">
            <wp:posOffset>95251</wp:posOffset>
          </wp:positionV>
          <wp:extent cx="1105853" cy="710905"/>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rIHzQvDqtgxRZkWn3S33Q6dRQ==">CgMxLjAyDWgudXdra3Z6M3cxaXcyCGguZ2pkZ3hzOAByITEtSWhPNGRrei1LSGRDUlMzdlFPbUJ4U0VnbHQtRHNydA==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2024-10-24T10:08:00Z</dcterms:created>
  <dc:creator>Chiara Lucia Guarino</dc:creator>
</cp:coreProperties>
</file>