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Report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 del convegno 28/06/2022 (mattina)</w:t>
      </w:r>
    </w:p>
    <w:p w:rsidR="00000000" w:rsidDel="00000000" w:rsidP="00000000" w:rsidRDefault="00000000" w:rsidRPr="00000000" w14:paraId="0000000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6"/>
          <w:szCs w:val="26"/>
        </w:rPr>
      </w:pPr>
      <w:bookmarkStart w:colFirst="0" w:colLast="0" w:name="_heading=h.t76q9qsgzltl" w:id="1"/>
      <w:bookmarkEnd w:id="1"/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highlight w:val="white"/>
          <w:rtl w:val="0"/>
        </w:rPr>
        <w:t xml:space="preserve">Paesaggio, forme di relazione e produzione tra biodiversità e cooperazione</w:t>
      </w:r>
      <w:r w:rsidDel="00000000" w:rsidR="00000000" w:rsidRPr="00000000">
        <w:rPr>
          <w:rFonts w:ascii="Lora" w:cs="Lora" w:eastAsia="Lora" w:hAnsi="Lora"/>
          <w:i w:val="1"/>
          <w:sz w:val="26"/>
          <w:szCs w:val="26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convegno del 28 giugno (primo dei due appuntamenti promossi nello stesso giorno da REV Green nel borgo antico di Fontana Liri) </w:t>
      </w:r>
      <w:r w:rsidDel="00000000" w:rsidR="00000000" w:rsidRPr="00000000">
        <w:rPr>
          <w:rFonts w:ascii="Lora" w:cs="Lora" w:eastAsia="Lora" w:hAnsi="Lora"/>
          <w:rtl w:val="0"/>
        </w:rPr>
        <w:t xml:space="preserve">dall'impattante</w:t>
      </w:r>
      <w:r w:rsidDel="00000000" w:rsidR="00000000" w:rsidRPr="00000000">
        <w:rPr>
          <w:rFonts w:ascii="Lora" w:cs="Lora" w:eastAsia="Lora" w:hAnsi="Lora"/>
          <w:rtl w:val="0"/>
        </w:rPr>
        <w:t xml:space="preserve"> titolo "Paesaggio, forme di relazione e produzione tra biodiversità e cooperazione" ha rappresentando un importante - nonché indispensabile in funzione e nell'ottica dello sviluppo complessivo del progetto di informazione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storytelling"- momento di confronto, analisi e studio del concetto, delle potenzialità e degli strumenti connessi alla cooperazione.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 ciò che è emerso in termini chiari, unanimi ed indiscutibili è l'imprescindibile centralità del concetto e della cultura della cooperazione nelle dinamiche e nelle strategie di sviluppo rurale.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Indubbiamente, nonostante qualche oggettiva difficoltà logistico-organizzativa - dovuta a qualche assenza dei correlatori ed alla necessità di alcuni contributi "da remoto", nonché alla realizzazione di 2 appuntamenti e, pertanto, di due location differenti, seppur a poca distanza nel centro del borgo antico di Fontana Liri - la giornata del 28 giugno, ed il Convegno , che ha rappresentato il primo appuntamento, hanno avuto una buona riuscita e rappresentano un formidabile portato in termini di esperienza, sperimentali e soprattutto contenutistici.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Inoltre, nonostante qualche piccola difficoltà come accennato, gli aspetti positivi in termini di connessioni, spunti, relazioni intessute e la bellezza di un borgo attraversato e caratterizzato da temi quali sviluppo rurale, cooperazione, paesaggio rurale, enogastronomia, patrimonio olivicolo-oleari sono stati infiniti. Senza voler contare l'aspetto estremamente impattante e proficuo connesso ai momenti di break, di degustazione e di ristoro, che hanno rappresentato delle vere fucine progettuali e relazionali.</w:t>
      </w:r>
    </w:p>
    <w:p w:rsidR="00000000" w:rsidDel="00000000" w:rsidP="00000000" w:rsidRDefault="00000000" w:rsidRPr="00000000" w14:paraId="0000000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Come già delineato ed anticipato nel paper e nel focus di presentazione al laboratorio "Paesaggio, forme di relazione e produzione tra biodiversità e cooperazione" - che potete trovare, come tutto il materiale già prodotto per i precedenti 5 appuntamenti realizzati nello sviluppo dell'azione informativa </w:t>
      </w:r>
      <w:r w:rsidDel="00000000" w:rsidR="00000000" w:rsidRPr="00000000">
        <w:rPr>
          <w:rFonts w:ascii="Lora" w:cs="Lora" w:eastAsia="Lora" w:hAnsi="Lora"/>
          <w:rtl w:val="0"/>
        </w:rPr>
        <w:t xml:space="preserve">"Agrifood</w:t>
      </w:r>
      <w:r w:rsidDel="00000000" w:rsidR="00000000" w:rsidRPr="00000000">
        <w:rPr>
          <w:rFonts w:ascii="Lora" w:cs="Lora" w:eastAsia="Lora" w:hAnsi="Lora"/>
          <w:rtl w:val="0"/>
        </w:rPr>
        <w:t xml:space="preserve"> chain storytelling", sul sito www.revgreen.it - il tema portante e centrale del confronto è stata l'indispensabilità e la centralità di una cultura della cooperazione; nonché politiche, meccanismi, premialità, scelte volte ad incentivare processi di aggregazione, di sinergia, di ibridazione. </w:t>
      </w:r>
    </w:p>
    <w:p w:rsidR="00000000" w:rsidDel="00000000" w:rsidP="00000000" w:rsidRDefault="00000000" w:rsidRPr="00000000" w14:paraId="0000000B">
      <w:pPr>
        <w:jc w:val="both"/>
        <w:rPr>
          <w:rFonts w:ascii="Lora" w:cs="Lora" w:eastAsia="Lora" w:hAnsi="Lor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Ed in tal senso, nonché, soprattutto, in proiezione futura, il supporto, le suggestioni e le analisi di Daniele Bruno Del Monaco rappresentano un portato, un valore ed un patrimonio unico per la nostra ruralità; per tutti noi. Di cui andiamo a riprendere alcuni spunti, framework, passaggi di analisi che - partendo dalle radici che affondano nella nostra storia, cultura, nelle pieghe del nostro - non sono mai semplice testimonianza, ma patrimonio vivo e denso di visioni, prospettive, traiettorie </w:t>
      </w:r>
    </w:p>
    <w:p w:rsidR="00000000" w:rsidDel="00000000" w:rsidP="00000000" w:rsidRDefault="00000000" w:rsidRPr="00000000" w14:paraId="0000000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“Coltivare qualità” significa, prima di tutto, far crescere e realizzare una cultura diffusa della qualità. “Culture e Colture” che si confondono in un unico concetto, così come son nate.  La parola cultura, infatti, fu coniata per la prima volta da Cicerone parlando di “cultura animi” (coltivare l’animo) - entrambi i termini derivano dal latino “colere”, che significa coltivare.</w:t>
      </w:r>
    </w:p>
    <w:p w:rsidR="00000000" w:rsidDel="00000000" w:rsidP="00000000" w:rsidRDefault="00000000" w:rsidRPr="00000000" w14:paraId="0000000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Qualità significa capacità di soddisfare esigenze di tipo materiale e immateriale, sociale ed economico.</w:t>
      </w:r>
    </w:p>
    <w:p w:rsidR="00000000" w:rsidDel="00000000" w:rsidP="00000000" w:rsidRDefault="00000000" w:rsidRPr="00000000" w14:paraId="0000000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Dobbiamo comunque pensare alle adeguate politiche di salvaguardia dei territori spopolati, che nella gran parte dei casi erano a vocazione agricola. Dobbiamo parlare di “agricolture”e non possiamo pensare ad un PSR che vada bene per Roma e allo stesso tempo per Rieti o Frosinone. Dobbiamo ragionare di agricoltura di montagna e di salvaguardia delle aree rurali, di valorizzazione delle acque interne e di sostegno e valorizzazione dei biodistretti.</w:t>
      </w:r>
    </w:p>
    <w:p w:rsidR="00000000" w:rsidDel="00000000" w:rsidP="00000000" w:rsidRDefault="00000000" w:rsidRPr="00000000" w14:paraId="0000001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Non bastano più i programmi Leader ad intercettare i bisogni degli agricoltori nei territori rurali, abbiamo bisogno di un piano agricolo regionale sartoriale che sappia individuare e sviluppare le peculiarità dei territori e mettere in relazione tutti i possibili finanziamenti.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sfida delle Cooperative agricole sarà quella di saper coniugare competitività e responsabilità sociale.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Il tema della responsabilità sociale si impone come strategia innovativa per il recupero e il rafforzamento di alcuni elementi di coesione, centrati sulla sostenibilità economica, sociale e ambientale nel contesto territoriale di riferimento.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Mettersi insieme per trovare soluzioni possibili, rispetto ai problemi cogenti, sembra essere l'unico modo per affrontare la crisi e le sfide dei prossimi anni. 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Agire insieme come agricoltori, ma anche come filiera, è l'unica soluzione praticabile per uscire vincenti dalla crisi.</w:t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Dotarsi di una strategia comunicativa comune, che affianchi la nascita di una o più reti orizzontali, e una rete di filiera complessa, che riguardi non solo la filiera tradizionale ma anche tutte le altre possibili, diventano condizioni senza le quali difficilmente si potranno affrontare alcune difficoltà.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Multifunzionalità e diversificazione devono essere elementi presenti nell’idea di sviluppo dell’impresa.</w:t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mancata capacità di aggregazione degli agricoltori ha notevoli conseguenze. Non è solamente causa del prezzo basso del prodotto, come abbiamo evidenziato, e di tutto quello che ne consegue, ma anche della mancanza dello sviluppo di numerose altre potenzialità.</w:t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 reti permetterebbero ai partecipanti di “co-innovare” abbassando i costi, di “co- investire” dividendo i costi, di co-progettare (open innovation). Le reti permetterebbero di creare una sorta di micorizzazione dell'impresa cooperativa, cioè una fitta rete di comunicazione capace di rendere meno vulnerabili i singoli.</w:t>
      </w:r>
    </w:p>
    <w:p w:rsidR="00000000" w:rsidDel="00000000" w:rsidP="00000000" w:rsidRDefault="00000000" w:rsidRPr="00000000" w14:paraId="0000001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sfida è, appunto, quella di realizzare un processo di transizione verso un'agricoltura sostenibile e questo è possibile solo se tutti i soggetti interessati remano dallo stesso lato e con la stessa intensità. Questo richiede cambiamenti su più fronti.</w:t>
      </w:r>
    </w:p>
    <w:p w:rsidR="00000000" w:rsidDel="00000000" w:rsidP="00000000" w:rsidRDefault="00000000" w:rsidRPr="00000000" w14:paraId="0000001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C'è la necessità di innovazione tecnologica ma anche di innovazione sociale e di innovazione istituzionale.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5438775</wp:posOffset>
          </wp:positionH>
          <wp:positionV relativeFrom="paragraph">
            <wp:posOffset>42301</wp:posOffset>
          </wp:positionV>
          <wp:extent cx="1105853" cy="7109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-342899</wp:posOffset>
          </wp:positionH>
          <wp:positionV relativeFrom="paragraph">
            <wp:posOffset>209550</wp:posOffset>
          </wp:positionV>
          <wp:extent cx="3037523" cy="37346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DGcLCTF6kI8h2QrMDyZPYBIGg==">CgMxLjAyDWgudXdra3Z6M3cxaXcyDmgudDc2cTlxc2d6bHRsOAByITFqRVFGQTdXbFhJamZURGFyd0s5bGVwN1k5b0FxOGVqag==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2024-10-24T10:54:00Z</dcterms:created>
  <dc:creator>Chiara Lucia Guarino</dc:creator>
</cp:coreProperties>
</file>