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Relazione introduttiva del seminario 25/06/2022</w:t>
      </w:r>
    </w:p>
    <w:p w:rsidR="00000000" w:rsidDel="00000000" w:rsidP="00000000" w:rsidRDefault="00000000" w:rsidRPr="00000000" w14:paraId="00000003">
      <w:pPr>
        <w:rPr>
          <w:sz w:val="10"/>
          <w:szCs w:val="10"/>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28"/>
          <w:szCs w:val="28"/>
        </w:rPr>
      </w:pPr>
      <w:bookmarkStart w:colFirst="0" w:colLast="0" w:name="_heading=h.ui1na437720z" w:id="1"/>
      <w:bookmarkEnd w:id="1"/>
      <w:r w:rsidDel="00000000" w:rsidR="00000000" w:rsidRPr="00000000">
        <w:rPr>
          <w:rFonts w:ascii="Lora" w:cs="Lora" w:eastAsia="Lora" w:hAnsi="Lora"/>
          <w:i w:val="1"/>
          <w:sz w:val="28"/>
          <w:szCs w:val="28"/>
          <w:rtl w:val="0"/>
        </w:rPr>
        <w:t xml:space="preserve">“</w:t>
      </w:r>
      <w:r w:rsidDel="00000000" w:rsidR="00000000" w:rsidRPr="00000000">
        <w:rPr>
          <w:rFonts w:ascii="Lora" w:cs="Lora" w:eastAsia="Lora" w:hAnsi="Lora"/>
          <w:i w:val="1"/>
          <w:sz w:val="30"/>
          <w:szCs w:val="30"/>
          <w:highlight w:val="white"/>
          <w:rtl w:val="0"/>
        </w:rPr>
        <w:t xml:space="preserve">Il connubio tra produzione agricola e settore agroalimentare, una reale opportunità di sviluppo territoriale</w:t>
      </w:r>
      <w:r w:rsidDel="00000000" w:rsidR="00000000" w:rsidRPr="00000000">
        <w:rPr>
          <w:rFonts w:ascii="Lora" w:cs="Lora" w:eastAsia="Lora" w:hAnsi="Lora"/>
          <w:i w:val="1"/>
          <w:sz w:val="28"/>
          <w:szCs w:val="28"/>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Il seminario odierno promosso dall'Associazione REV Green è il terzo appuntamento dei 14 previsti nel progetto di informazione e di innovazione sociale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una progettualità che in sinergia con altre azioni ed interventi promossi - con la medesima finalità, seppur attraverso chiavi di lettura e livelli tematici differenti - da altre realtà attive nel sistema </w:t>
      </w:r>
      <w:r w:rsidDel="00000000" w:rsidR="00000000" w:rsidRPr="00000000">
        <w:rPr>
          <w:rFonts w:ascii="Lora" w:cs="Lora" w:eastAsia="Lora" w:hAnsi="Lora"/>
          <w:rtl w:val="0"/>
        </w:rPr>
        <w:t xml:space="preserve">agrorurale</w:t>
      </w:r>
      <w:r w:rsidDel="00000000" w:rsidR="00000000" w:rsidRPr="00000000">
        <w:rPr>
          <w:rFonts w:ascii="Lora" w:cs="Lora" w:eastAsia="Lora" w:hAnsi="Lora"/>
          <w:rtl w:val="0"/>
        </w:rPr>
        <w:t xml:space="preserve"> del GAL Terre di Argil e in stretta connessione, complementarità e continuo confronto (talvolta fisiologico e positivo scontro dovuto al ruolo diverso… ma sempre coesi nel cercare di raggiungere il comune obiettivo) con la struttura tecnica, il corpo sociale e la mission del Gruppo di Azione Locale.</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Il convegno odierno - avente come titolo "Il connubio tra produzione agricola e settore agroalimentare, una reale opportunità di sviluppo territoriale" - esprime pienamente il senso, la chiave di lettura ed il ruolo del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nel processo sistemico di innovazione sociale avviato sul GAL Terre di Argil: ossia porre al centro dell'azione informativa (sia nella fase laboratoriale/in aula sia nella realizzazione di altri output previsti, quali una Guida della Ruralità e l'App </w:t>
      </w:r>
      <w:r w:rsidDel="00000000" w:rsidR="00000000" w:rsidRPr="00000000">
        <w:rPr>
          <w:rFonts w:ascii="Lora" w:cs="Lora" w:eastAsia="Lora" w:hAnsi="Lora"/>
          <w:rtl w:val="0"/>
        </w:rPr>
        <w:t xml:space="preserve">RURALmedia)</w:t>
      </w:r>
      <w:r w:rsidDel="00000000" w:rsidR="00000000" w:rsidRPr="00000000">
        <w:rPr>
          <w:rFonts w:ascii="Lora" w:cs="Lora" w:eastAsia="Lora" w:hAnsi="Lora"/>
          <w:rtl w:val="0"/>
        </w:rPr>
        <w:t xml:space="preserve"> e nei correlati momenti di condivisione e confronto, la centralità del prodotto e della filiera nel definire e praticare una strategia di sviluppo rurale.</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E la giornata di oggi pone al centro della dimensione e del paesaggio rurale la filiera agroalimentare; individua e proietta  la produzione agroalimentare, la biodiversità e - come detto -  la filiera,  come architrave portante e "correttamente esondante"/infrastrutturale nei processi e nelle strategie di sviluppo rurale.</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Le agricolture ed la produzione agricola (in termini di prodotto, nonché di servizi), pertanto non solo come pivot del distretto agro-rurale -di cui la filiera agroalimentare è sì dimensione parziale, ma, contestualmente ne è la parte imprescindibile - ma come infrastruttura trasversale e di interconnessione tra i vari comparti e tra gli stessi e la società civile, nonché l'ambiente di riferimento. </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Al centro del paesaggio rurale, di cui il prodotto agricolo è una sfumatura indispensabile.</w:t>
      </w:r>
    </w:p>
    <w:p w:rsidR="00000000" w:rsidDel="00000000" w:rsidP="00000000" w:rsidRDefault="00000000" w:rsidRPr="00000000" w14:paraId="0000000B">
      <w:pPr>
        <w:jc w:val="both"/>
        <w:rPr>
          <w:rFonts w:ascii="Lora" w:cs="Lora" w:eastAsia="Lora" w:hAnsi="Lora"/>
        </w:rPr>
      </w:pPr>
      <w:r w:rsidDel="00000000" w:rsidR="00000000" w:rsidRPr="00000000">
        <w:rPr>
          <w:rtl w:val="0"/>
        </w:rPr>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E proprio questo ruolo </w:t>
      </w:r>
      <w:r w:rsidDel="00000000" w:rsidR="00000000" w:rsidRPr="00000000">
        <w:rPr>
          <w:rFonts w:ascii="Lora" w:cs="Lora" w:eastAsia="Lora" w:hAnsi="Lora"/>
          <w:rtl w:val="0"/>
        </w:rPr>
        <w:t xml:space="preserve">dell'agrifood</w:t>
      </w:r>
      <w:r w:rsidDel="00000000" w:rsidR="00000000" w:rsidRPr="00000000">
        <w:rPr>
          <w:rFonts w:ascii="Lora" w:cs="Lora" w:eastAsia="Lora" w:hAnsi="Lora"/>
          <w:rtl w:val="0"/>
        </w:rPr>
        <w:t xml:space="preserve"> chain sarà il tema centrale del convegno odierno, chiave di lettura al laboratorio cui daranno interpretazione, analisi e prospettiva diverse relazioni e contributi a cura di esponenti del tessuto produttivo, delle istituzioni, del mondo della ricerca, dell'associazionismo. </w:t>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Dando forma e senso a quel necessario processo di ibridazione e </w:t>
      </w:r>
      <w:r w:rsidDel="00000000" w:rsidR="00000000" w:rsidRPr="00000000">
        <w:rPr>
          <w:rFonts w:ascii="Lora" w:cs="Lora" w:eastAsia="Lora" w:hAnsi="Lora"/>
          <w:rtl w:val="0"/>
        </w:rPr>
        <w:t xml:space="preserve">intra-settorialità</w:t>
      </w:r>
      <w:r w:rsidDel="00000000" w:rsidR="00000000" w:rsidRPr="00000000">
        <w:rPr>
          <w:rFonts w:ascii="Lora" w:cs="Lora" w:eastAsia="Lora" w:hAnsi="Lora"/>
          <w:rtl w:val="0"/>
        </w:rPr>
        <w:t xml:space="preserve"> che è sostrato imprescindibile per raggiungere gli obiettivi alla base del Piano di Sviluppo Locale del GAL Terre di Argil..., “</w:t>
      </w:r>
      <w:r w:rsidDel="00000000" w:rsidR="00000000" w:rsidRPr="00000000">
        <w:rPr>
          <w:rFonts w:ascii="Lora" w:cs="Lora" w:eastAsia="Lora" w:hAnsi="Lora"/>
          <w:i w:val="1"/>
          <w:rtl w:val="0"/>
        </w:rPr>
        <w:t xml:space="preserve">dove agricoltura e cultura hanno la stessa radice</w:t>
      </w:r>
      <w:r w:rsidDel="00000000" w:rsidR="00000000" w:rsidRPr="00000000">
        <w:rPr>
          <w:rFonts w:ascii="Lora" w:cs="Lora" w:eastAsia="Lora" w:hAnsi="Lora"/>
          <w:rtl w:val="0"/>
        </w:rPr>
        <w:t xml:space="preserve">” e sono elementi costituenti e linfa imprescindibile per il territorio e per la dimensione agro rurale, cui devono contribuire e su cui devono investire - in modalità e con strumenti connessi, ma necessariamente </w:t>
      </w:r>
      <w:r w:rsidDel="00000000" w:rsidR="00000000" w:rsidRPr="00000000">
        <w:rPr>
          <w:rFonts w:ascii="Lora" w:cs="Lora" w:eastAsia="Lora" w:hAnsi="Lora"/>
          <w:rtl w:val="0"/>
        </w:rPr>
        <w:t xml:space="preserve">coesi,</w:t>
      </w:r>
      <w:r w:rsidDel="00000000" w:rsidR="00000000" w:rsidRPr="00000000">
        <w:rPr>
          <w:rFonts w:ascii="Lora" w:cs="Lora" w:eastAsia="Lora" w:hAnsi="Lora"/>
          <w:rtl w:val="0"/>
        </w:rPr>
        <w:t xml:space="preserve"> coordinati e coerenti - gli attori del tessuto economico, di quello sociale ed i vari livelli di governance.</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E con tale piglio e  partendo da questo asse tematico si svilupperà la giornata odierna cui interverranno i molteplici i relatori, correlatori e relazioni previste (invitiamo ad approfondire ulteriormente il tutto, nei giorni successivi il 25 giugno, con i documenti, i video report e le interviste realizzate, che saranno disponibili sul sito www.revgreen.it .</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Nella stessa  sezione potrete trovare anche materiale dei 2 precedenti incontri realizzati, </w:t>
      </w:r>
      <w:r w:rsidDel="00000000" w:rsidR="00000000" w:rsidRPr="00000000">
        <w:rPr>
          <w:rFonts w:ascii="Lora" w:cs="Lora" w:eastAsia="Lora" w:hAnsi="Lora"/>
          <w:rtl w:val="0"/>
        </w:rPr>
        <w:t xml:space="preserve">nonchè,</w:t>
      </w:r>
      <w:r w:rsidDel="00000000" w:rsidR="00000000" w:rsidRPr="00000000">
        <w:rPr>
          <w:rFonts w:ascii="Lora" w:cs="Lora" w:eastAsia="Lora" w:hAnsi="Lora"/>
          <w:rtl w:val="0"/>
        </w:rPr>
        <w:t xml:space="preserve"> in futuro, la narrazione dei vari step del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dal Presidente del Consorzio del Peperone di Pontecorvo DOP Luigi Castrechini al Dottor Francesco </w:t>
      </w:r>
      <w:r w:rsidDel="00000000" w:rsidR="00000000" w:rsidRPr="00000000">
        <w:rPr>
          <w:rFonts w:ascii="Lora" w:cs="Lora" w:eastAsia="Lora" w:hAnsi="Lora"/>
          <w:rtl w:val="0"/>
        </w:rPr>
        <w:t xml:space="preserve">Tommaselli</w:t>
      </w:r>
      <w:r w:rsidDel="00000000" w:rsidR="00000000" w:rsidRPr="00000000">
        <w:rPr>
          <w:rFonts w:ascii="Lora" w:cs="Lora" w:eastAsia="Lora" w:hAnsi="Lora"/>
          <w:rtl w:val="0"/>
        </w:rPr>
        <w:t xml:space="preserve"> erborista, imprenditore agricolo e, soprattutto, massimo esperto della filiera delle erbe officinali, dal Direttore di Coldiretti Basilicata (che per decenni ha rivestito il medesimo ruolo nella principale associazione di categoria agricola del Lazio) Aldo Mattia al Presidente dell'Associazione OR.T.I.C.A Jacopo Granieri.  </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Con l'intenzione di offrire un quadro ed info utili a seguire e contribuire ai lavori del convegno e del suggestivo tema portante "Il connubio tra produzione agricola e settore agroalimentare, una reale opportunità di sviluppo territoriale", andiamo ad evidenziare alcuni fattori ed elementi di fondamentale importanza, che saranno chiaramente approfonditi ed interpretati dai suddetti relatori, che ringraziamo infinitamente per la disponibilità, poiché il processo in fieri può raggiungere gli obiettivi fissati solo se expertise e competenze di tale calibro ed esperienza supportano e guidano il processo; partendo dal Green Deal e dalle politiche che saranno base e pilastro dei prossimi anni di programmazione.</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Difatti sono due gli assi strategici che risultano fondamentali nel percorso di rilancio economico sostenibile delineato per l'Unione dal Green Deal e presentati un paio di anni fa dalla Commissione Europea, in piena pandemia: la Strategia per la Biodiversità e quella del cosiddetto "Farm to Fork". </w:t>
      </w:r>
    </w:p>
    <w:p w:rsidR="00000000" w:rsidDel="00000000" w:rsidP="00000000" w:rsidRDefault="00000000" w:rsidRPr="00000000" w14:paraId="00000012">
      <w:pPr>
        <w:jc w:val="both"/>
        <w:rPr>
          <w:rFonts w:ascii="Lora" w:cs="Lora" w:eastAsia="Lora" w:hAnsi="Lora"/>
        </w:rPr>
      </w:pPr>
      <w:r w:rsidDel="00000000" w:rsidR="00000000" w:rsidRPr="00000000">
        <w:rPr>
          <w:rtl w:val="0"/>
        </w:rPr>
      </w:r>
    </w:p>
    <w:p w:rsidR="00000000" w:rsidDel="00000000" w:rsidP="00000000" w:rsidRDefault="00000000" w:rsidRPr="00000000" w14:paraId="00000013">
      <w:pPr>
        <w:jc w:val="both"/>
        <w:rPr>
          <w:rFonts w:ascii="Lora" w:cs="Lora" w:eastAsia="Lora" w:hAnsi="Lora"/>
        </w:rPr>
      </w:pPr>
      <w:r w:rsidDel="00000000" w:rsidR="00000000" w:rsidRPr="00000000">
        <w:rPr>
          <w:rtl w:val="0"/>
        </w:rPr>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La nuova strategia sulla biodiversità affronta i fattori chiave della perdita di biodiversità, come l'uso insostenibile di terra e mare, lo sfruttamento eccessivo e l'inquinamento delle risorse naturali, la diffusione di specie esotiche invasive. Adottata nel cuore della crisi COVID-19, la Strategia intende essere un elemento centrale del piano di risanamento dell'UE, cruciale per costruire la resilienza a futuri focolai e per fornire immediate opportunità di investimento utili all'economia dell'Unione. In questo senso la Strategia mira a rendere le considerazioni sulla conservazione della biodiversità una parte integrante della strategia generale di crescita economica dell'UE. </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Si propone di stabilire obiettivi vincolanti per ripristinare ecosistemi danneggiati, migliorare la salute degli habitat e delle specie protette, riportare gli impollinatori nei campi, ridurre l'inquinamento, inverdire le città, rafforzare l'agricoltura biologica e tutte le pratiche agricole rispettose della biodiversità, migliorare la salute delle foreste europee. </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Punta a nuove modalità per attuare la legislazione esistente in modo più efficace, identificando nuovi impegni, misure, obiettivi e meccanismi di governance. </w:t>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Invece la strategia Dal produttore al consumatore ambisce a favorire la transizione dell'UE verso un sistema alimentare sostenibile capace di garantire la sicurezza alimentare e l'accesso a diete sane, che siano originate da un pianeta a sua volta sano. </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In questa direzione la strategia F2F intende ridurre l'impronta ambientale e climatica dell'agricoltura, proteggere la salute dei cittadini e garantire al contempo il sostentamento di tutti gli operatori economici attivi nel sistema agro-alimentare. </w:t>
      </w:r>
    </w:p>
    <w:p w:rsidR="00000000" w:rsidDel="00000000" w:rsidP="00000000" w:rsidRDefault="00000000" w:rsidRPr="00000000" w14:paraId="00000019">
      <w:pPr>
        <w:jc w:val="both"/>
        <w:rPr>
          <w:rFonts w:ascii="Lora" w:cs="Lora" w:eastAsia="Lora" w:hAnsi="Lora"/>
        </w:rPr>
      </w:pPr>
      <w:r w:rsidDel="00000000" w:rsidR="00000000" w:rsidRPr="00000000">
        <w:rPr>
          <w:rFonts w:ascii="Lora" w:cs="Lora" w:eastAsia="Lora" w:hAnsi="Lora"/>
          <w:rtl w:val="0"/>
        </w:rPr>
        <w:t xml:space="preserve">Per queste finalità la strategia fissa obiettivi concreti come:</w:t>
      </w:r>
    </w:p>
    <w:p w:rsidR="00000000" w:rsidDel="00000000" w:rsidP="00000000" w:rsidRDefault="00000000" w:rsidRPr="00000000" w14:paraId="0000001A">
      <w:pPr>
        <w:jc w:val="both"/>
        <w:rPr>
          <w:rFonts w:ascii="Lora" w:cs="Lora" w:eastAsia="Lora" w:hAnsi="Lora"/>
          <w:sz w:val="4"/>
          <w:szCs w:val="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riduzione del 50% dell'uso e del rischio connesso all'uso di prodotti fitosanitari;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riduzione di almeno il 20% dell'uso di fertilizzanti;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riduzione del 50% delle vendite di antibiotici impiegati in zootecnia e acquacoltura;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raggiungimento della soglia del 25% della superficie agricola condotta con metodi di agricoltura biologica;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100% di copertura delle zone rurali con banda larga veloce entro il 2025 per consentire l'innovazione digitale.</w:t>
      </w:r>
    </w:p>
    <w:p w:rsidR="00000000" w:rsidDel="00000000" w:rsidP="00000000" w:rsidRDefault="00000000" w:rsidRPr="00000000" w14:paraId="00000024">
      <w:pPr>
        <w:jc w:val="both"/>
        <w:rPr>
          <w:rFonts w:ascii="Lora" w:cs="Lora" w:eastAsia="Lora" w:hAnsi="Lora"/>
        </w:rPr>
      </w:pPr>
      <w:r w:rsidDel="00000000" w:rsidR="00000000" w:rsidRPr="00000000">
        <w:rPr>
          <w:rFonts w:ascii="Lora" w:cs="Lora" w:eastAsia="Lora" w:hAnsi="Lora"/>
          <w:rtl w:val="0"/>
        </w:rPr>
        <w:t xml:space="preserve">La strategia suggerisce misure ambiziose per fare in modo che l'opzione del cibo salutare sia la più semplice da seguire per i cittadini dell'UE, attraverso, ad esempio, una rafforzata etichettatura dei prodotti capace di cogliere meglio le esigenze di informazione dei consumatori in tema di salubrità e sostenibilità degli alimenti.</w:t>
      </w:r>
    </w:p>
    <w:p w:rsidR="00000000" w:rsidDel="00000000" w:rsidP="00000000" w:rsidRDefault="00000000" w:rsidRPr="00000000" w14:paraId="00000025">
      <w:pPr>
        <w:jc w:val="both"/>
        <w:rPr>
          <w:rFonts w:ascii="Lora" w:cs="Lora" w:eastAsia="Lora" w:hAnsi="Lora"/>
        </w:rPr>
      </w:pPr>
      <w:r w:rsidDel="00000000" w:rsidR="00000000" w:rsidRPr="00000000">
        <w:rPr>
          <w:rtl w:val="0"/>
        </w:rPr>
      </w:r>
    </w:p>
    <w:p w:rsidR="00000000" w:rsidDel="00000000" w:rsidP="00000000" w:rsidRDefault="00000000" w:rsidRPr="00000000" w14:paraId="00000026">
      <w:pPr>
        <w:jc w:val="both"/>
        <w:rPr>
          <w:rFonts w:ascii="Lora" w:cs="Lora" w:eastAsia="Lora" w:hAnsi="Lora"/>
          <w:sz w:val="10"/>
          <w:szCs w:val="10"/>
        </w:rPr>
      </w:pPr>
      <w:r w:rsidDel="00000000" w:rsidR="00000000" w:rsidRPr="00000000">
        <w:rPr>
          <w:rtl w:val="0"/>
        </w:rPr>
      </w:r>
    </w:p>
    <w:p w:rsidR="00000000" w:rsidDel="00000000" w:rsidP="00000000" w:rsidRDefault="00000000" w:rsidRPr="00000000" w14:paraId="00000027">
      <w:pPr>
        <w:jc w:val="both"/>
        <w:rPr>
          <w:rFonts w:ascii="Lora" w:cs="Lora" w:eastAsia="Lora" w:hAnsi="Lora"/>
        </w:rPr>
      </w:pPr>
      <w:r w:rsidDel="00000000" w:rsidR="00000000" w:rsidRPr="00000000">
        <w:rPr>
          <w:rFonts w:ascii="Lora" w:cs="Lora" w:eastAsia="Lora" w:hAnsi="Lora"/>
          <w:rtl w:val="0"/>
        </w:rPr>
        <w:t xml:space="preserve">Ed in questa ottica ed in funzione della realizzazione della strategia del GAL Terre di Argil il laboratorio sarà anche momento di condivisione, presentazione e valorizzazione dei vari progetti presentati o avviati sul GAL in ambito ed in connessione con i bandi delle misure 16.3 “Cooperazione tra piccoli operatori per organizzare processi di lavoro in comune e condividere impianti e risorse, nonché per lo sviluppo la commercializzazione del turismo” e 16.4 "Sostegno alla cooperazione di filiera, sia orizzontale che verticale, per la creazione e lo sviluppo di filiere corte e mercati locali e sostegno ad attività promozionali a raggio locale connesse allo sviluppo delle filiere corte e dei mercati locali", tutti strettamente interconnessi con le progettualità dedicate principalmente all'innovazione sociale; quale è il progetto "Agrifood chain storytelling".</w:t>
      </w:r>
    </w:p>
    <w:p w:rsidR="00000000" w:rsidDel="00000000" w:rsidP="00000000" w:rsidRDefault="00000000" w:rsidRPr="00000000" w14:paraId="00000028">
      <w:pPr>
        <w:jc w:val="both"/>
        <w:rPr>
          <w:rFonts w:ascii="Lora" w:cs="Lora" w:eastAsia="Lora" w:hAnsi="Lora"/>
        </w:rPr>
      </w:pPr>
      <w:r w:rsidDel="00000000" w:rsidR="00000000" w:rsidRPr="00000000">
        <w:rPr>
          <w:rFonts w:ascii="Lora" w:cs="Lora" w:eastAsia="Lora" w:hAnsi="Lora"/>
          <w:rtl w:val="0"/>
        </w:rPr>
        <w:t xml:space="preserve">Questo in quanto la definizione e la condivisione costituente di un processo territoriale di crescita - data l'indispensabile centralità e la sovra citata funzione infrastrutturale delle agricolture - richiede necessariamente una strategia bottom up fortemente integrata che poggi su reti e filiere che siano momenti e strumenti di cooperazione, di senso comune e di benefici trasversali.</w:t>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p>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5438775</wp:posOffset>
          </wp:positionH>
          <wp:positionV relativeFrom="paragraph">
            <wp:posOffset>-335279</wp:posOffset>
          </wp:positionV>
          <wp:extent cx="1105853" cy="71090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5853" cy="71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-361949</wp:posOffset>
          </wp:positionH>
          <wp:positionV relativeFrom="paragraph">
            <wp:posOffset>-180974</wp:posOffset>
          </wp:positionV>
          <wp:extent cx="3037523" cy="373466"/>
          <wp:effectExtent b="0" l="0" r="0" t="0"/>
          <wp:wrapNone/>
          <wp:docPr id="2" name="image2.jpg"/>
          <a:graphic>
            <a:graphicData uri="http://schemas.openxmlformats.org/drawingml/2006/picture">
              <pic:pic>
                <pic:nvPicPr>
                  <pic:cNvPr id="0" name="image2.jpg"/>
                  <pic:cNvPicPr preferRelativeResize="0"/>
                </pic:nvPicPr>
                <pic:blipFill>
                  <a:blip r:embed="rId2"/>
                  <a:srcRect b="7423" l="1437" r="1223" t="9244"/>
                  <a:stretch>
                    <a:fillRect/>
                  </a:stretch>
                </pic:blipFill>
                <pic:spPr>
                  <a:xfrm>
                    <a:off x="0" y="0"/>
                    <a:ext cx="3037523" cy="3734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phOMe22+cPlmQ+cgNvzDIeRa6w==">CgMxLjAyDWgudXdra3Z6M3cxaXcyDmgudWkxbmE0Mzc3MjB6OAByITFkTXF1NnUxN19ZcWt3anpLMnpDRUNwcS15dGxHbEtWbQ==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2024-10-24T10:17:00Z</dcterms:created>
  <dc:creator>Chiara Lucia Guarino</dc:creator>
</cp:coreProperties>
</file>