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Lora" w:cs="Lora" w:eastAsia="Lora" w:hAnsi="Lora"/>
          <w:i w:val="1"/>
          <w:sz w:val="22"/>
          <w:szCs w:val="22"/>
        </w:rPr>
      </w:pPr>
      <w:bookmarkStart w:colFirst="0" w:colLast="0" w:name="_heading=h.uwkkvz3w1iw" w:id="0"/>
      <w:bookmarkEnd w:id="0"/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Agrifood</w:t>
      </w:r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 Chain Storytelling</w:t>
      </w: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Lora" w:cs="Lora" w:eastAsia="Lora" w:hAnsi="Lora"/>
          <w:i w:val="1"/>
          <w:sz w:val="22"/>
          <w:szCs w:val="22"/>
          <w:rtl w:val="0"/>
        </w:rPr>
        <w:t xml:space="preserve">Op.19.2.1 1.2.1 “Attività dimostrative e azioni di informazione” GAL Terre di Argil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0" w:lineRule="auto"/>
        <w:ind w:left="97" w:right="85" w:firstLine="0"/>
        <w:jc w:val="center"/>
        <w:rPr>
          <w:rFonts w:ascii="Lora" w:cs="Lora" w:eastAsia="Lora" w:hAnsi="Lora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Focus tematico del seminario 29/06/2022 </w:t>
      </w:r>
    </w:p>
    <w:p w:rsidR="00000000" w:rsidDel="00000000" w:rsidP="00000000" w:rsidRDefault="00000000" w:rsidRPr="00000000" w14:paraId="00000003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65" w:lineRule="auto"/>
        <w:ind w:left="97" w:right="85" w:firstLine="0"/>
        <w:jc w:val="center"/>
        <w:rPr>
          <w:rFonts w:ascii="Lora" w:cs="Lora" w:eastAsia="Lora" w:hAnsi="Lora"/>
          <w:i w:val="1"/>
          <w:sz w:val="26"/>
          <w:szCs w:val="26"/>
        </w:rPr>
      </w:pPr>
      <w:bookmarkStart w:colFirst="0" w:colLast="0" w:name="_heading=h.k3skhzaqwao5" w:id="1"/>
      <w:bookmarkEnd w:id="1"/>
      <w:r w:rsidDel="00000000" w:rsidR="00000000" w:rsidRPr="00000000">
        <w:rPr>
          <w:rFonts w:ascii="Lora" w:cs="Lora" w:eastAsia="Lora" w:hAnsi="Lora"/>
          <w:i w:val="1"/>
          <w:sz w:val="26"/>
          <w:szCs w:val="26"/>
          <w:rtl w:val="0"/>
        </w:rPr>
        <w:t xml:space="preserve">“</w:t>
      </w:r>
      <w:r w:rsidDel="00000000" w:rsidR="00000000" w:rsidRPr="00000000">
        <w:rPr>
          <w:rFonts w:ascii="Lora" w:cs="Lora" w:eastAsia="Lora" w:hAnsi="Lora"/>
          <w:i w:val="1"/>
          <w:sz w:val="28"/>
          <w:szCs w:val="28"/>
          <w:rtl w:val="0"/>
        </w:rPr>
        <w:t xml:space="preserve">Una necessaria lettura globale per affrontare le sfide locali. L’identità non è perimetro ma relazione. Forme di relazione e forme di produzione che costituiscono la dimensione rurale</w:t>
      </w:r>
      <w:r w:rsidDel="00000000" w:rsidR="00000000" w:rsidRPr="00000000">
        <w:rPr>
          <w:rFonts w:ascii="Lora" w:cs="Lora" w:eastAsia="Lora" w:hAnsi="Lora"/>
          <w:i w:val="1"/>
          <w:sz w:val="26"/>
          <w:szCs w:val="26"/>
          <w:rtl w:val="0"/>
        </w:rPr>
        <w:t xml:space="preserve">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focus del seminario odierno cui state partecipando, promosso dall'Associazione REV Green e momento costituente del percorso e dell'attività informativa </w:t>
      </w:r>
      <w:r w:rsidDel="00000000" w:rsidR="00000000" w:rsidRPr="00000000">
        <w:rPr>
          <w:rFonts w:ascii="Lora" w:cs="Lora" w:eastAsia="Lora" w:hAnsi="Lora"/>
          <w:rtl w:val="0"/>
        </w:rPr>
        <w:t xml:space="preserve">"Agrifood</w:t>
      </w:r>
      <w:r w:rsidDel="00000000" w:rsidR="00000000" w:rsidRPr="00000000">
        <w:rPr>
          <w:rFonts w:ascii="Lora" w:cs="Lora" w:eastAsia="Lora" w:hAnsi="Lora"/>
          <w:rtl w:val="0"/>
        </w:rPr>
        <w:t xml:space="preserve"> chain storytelling" - cui maggiori dettagli potete trovare sia nella relazione introduttiva sia nella sezione SRAI (Spazi Rurali di Autoformazione ed Informazione) del sito www.revgreen.it - come i precedenti focus esprime una consapevolmente parziale chiave di lettura dell'asse tematico principale di analisi e di sviluppo dei lavori del laboratorio.</w:t>
      </w:r>
    </w:p>
    <w:p w:rsidR="00000000" w:rsidDel="00000000" w:rsidP="00000000" w:rsidRDefault="00000000" w:rsidRPr="00000000" w14:paraId="0000000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Come emerge chiaramente dal paper allegato nel kit press che vi è stato distribuito  il laboratorio odierno ha carattere e contenuto estremamente sperimentale. Declinare ed articolare, su una tela già fortemente sperimentale, una lettura parziale - frutto ed elaborazione del lavoro di ascolto, confronto e sintesi promosso e portato avanti dalla nostra Associazione - può risultare sgrammaticato se non presuntuoso; nonostante ciò (e riteniamo necessario condividere con voi la piena consapevolezza della forzatura), in continuità con gli appuntamenti già realizzati, abbiamo voluto porre alla vostra attenzione e condividere nel dibattito odierno le analisi e le valutazioni elaborate nel nostro percorso.</w:t>
      </w:r>
    </w:p>
    <w:p w:rsidR="00000000" w:rsidDel="00000000" w:rsidP="00000000" w:rsidRDefault="00000000" w:rsidRPr="00000000" w14:paraId="0000000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L’impoverimento del capitale umano del nostro Paese, l’allontanamento dei territori e delle persone “dalla percezione dei diritti, dei doveri e della dignità di un sistema comune” hanno tragicamente disossato il rapporto tra Politica, tra governance e tessuto sociale ed economico. </w:t>
      </w:r>
    </w:p>
    <w:p w:rsidR="00000000" w:rsidDel="00000000" w:rsidP="00000000" w:rsidRDefault="00000000" w:rsidRPr="00000000" w14:paraId="0000000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 questo fenomeno è divenuto un moloch mostruoso che vede la provincia di gran parte dell’Italia “allontanarsi dai processi costituenti, quasi avulsa a causa della percezione (reale o fittizia.. a voi la risposta) di una non partecipazione attiva ai processi, ai tempi, alle strategie”. Ed in questo emerge con forza la difficoltà di </w:t>
      </w:r>
      <w:r w:rsidDel="00000000" w:rsidR="00000000" w:rsidRPr="00000000">
        <w:rPr>
          <w:rFonts w:ascii="Lora" w:cs="Lora" w:eastAsia="Lora" w:hAnsi="Lora"/>
          <w:rtl w:val="0"/>
        </w:rPr>
        <w:t xml:space="preserve">reinterpretare</w:t>
      </w:r>
      <w:r w:rsidDel="00000000" w:rsidR="00000000" w:rsidRPr="00000000">
        <w:rPr>
          <w:rFonts w:ascii="Lora" w:cs="Lora" w:eastAsia="Lora" w:hAnsi="Lora"/>
          <w:rtl w:val="0"/>
        </w:rPr>
        <w:t xml:space="preserve"> ruoli, funzioni, traiettorie nella dimensione post-industriale. </w:t>
      </w:r>
    </w:p>
    <w:p w:rsidR="00000000" w:rsidDel="00000000" w:rsidP="00000000" w:rsidRDefault="00000000" w:rsidRPr="00000000" w14:paraId="0000000A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Non più il metal-mezzadro, non più comparti fini a sé stessi e guidati dal ruolo unico dell’industria, ma la necessità di re-immaginare un nuovo paradigma produttivo attraverso la trasversalità di filiera, di comparti. Mediante l’aggregazione, la dialettica, la strategia.</w:t>
      </w:r>
    </w:p>
    <w:p w:rsidR="00000000" w:rsidDel="00000000" w:rsidP="00000000" w:rsidRDefault="00000000" w:rsidRPr="00000000" w14:paraId="0000000B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Ed i dati, le sfumature che emergono dall’inchiesta e  dallo studio che abbiamo realizzato come Associazione REV Green, attraverso interviste, focus e confronti dipingono con intensità la necessità di re-immaginare, declinare nuovi meccanismi e nuove traiettorie di crescita del sistema rurale regionale e territoriale.</w:t>
      </w:r>
    </w:p>
    <w:p w:rsidR="00000000" w:rsidDel="00000000" w:rsidP="00000000" w:rsidRDefault="00000000" w:rsidRPr="00000000" w14:paraId="0000000C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Tra le notevoli  tinte fosche emergono con forza processi quali l’abbandono scolastico, l’altissimo numero dei NEET che caratterizza le province, così come la disoccupazione femminile, o ancora fenomeni sempre maggiori di sommerso, di caporalato, la riduzione dei servizi e del welfare. Va aumentando di volume e di intensità quella nube foriera di depauperamento culturale e di indebolimento sociale. Si perdono nei vuoti e nelle ridondanze, nelle scatole vuote e nell’incapacità di “far sistema”.</w:t>
      </w:r>
    </w:p>
    <w:p w:rsidR="00000000" w:rsidDel="00000000" w:rsidP="00000000" w:rsidRDefault="00000000" w:rsidRPr="00000000" w14:paraId="0000000D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Ma anche tra i san pietrini, anche nelle incrinature dell’asfalto nascono i fiori. Ed in questo periodo in cui le infrastrutture materiali ed immateriali stanno cedendo, a causa anche di un recente passato in cui noi,se non tutti in molti, abbiamo abbandonato – traditi, disillusi, insoddisfatti – le responsabilità dell’essere soggetti costituenti ed in cui abbiamo lasciato che la Politica si </w:t>
      </w:r>
      <w:r w:rsidDel="00000000" w:rsidR="00000000" w:rsidRPr="00000000">
        <w:rPr>
          <w:rFonts w:ascii="Lora" w:cs="Lora" w:eastAsia="Lora" w:hAnsi="Lora"/>
          <w:rtl w:val="0"/>
        </w:rPr>
        <w:t xml:space="preserve">tramutasse</w:t>
      </w:r>
      <w:r w:rsidDel="00000000" w:rsidR="00000000" w:rsidRPr="00000000">
        <w:rPr>
          <w:rFonts w:ascii="Lora" w:cs="Lora" w:eastAsia="Lora" w:hAnsi="Lora"/>
          <w:rtl w:val="0"/>
        </w:rPr>
        <w:t xml:space="preserve"> in una costante kermesse di  spot e di obiettivi di piccolo cabotaggio (da Politica con la P maiuscola a politica triste e di interesse) in cui non siamo stati in grado di costruire architetture economiche e sociali in grado di avvicinare le province all’impero, proprio in questo periodo alcune esperienze, alcune tendenze, alcune letture colorano con pastelli e sfumature sgargianti il nostro moleskine.</w:t>
      </w:r>
    </w:p>
    <w:p w:rsidR="00000000" w:rsidDel="00000000" w:rsidP="00000000" w:rsidRDefault="00000000" w:rsidRPr="00000000" w14:paraId="0000000E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Le esperienze dei Gruppi di acquisto solidale in termini di aggregazione dell’offerta ma anche e, soprattutto, di “cultura del sano ed attenzione ai valori etici”; il fenomeno e le potenzialità – da praticare, da ottimizzare – delle cooperative di comunità; la costruzione di realtà auto-imprenditoriali in grado di rigenerare un patrimonio comune come le terre pubbliche; l’attenzione sempre maggiore (..era ora..) alle tematiche ambientali sia da parte dei consumatori che dei produttori; la capacità (in termini di risultati e di vivibilità) di inclusione sociale del tessuto agricolo.</w:t>
      </w:r>
    </w:p>
    <w:p w:rsidR="00000000" w:rsidDel="00000000" w:rsidP="00000000" w:rsidRDefault="00000000" w:rsidRPr="00000000" w14:paraId="0000000F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Questo ed altri elementi fanno emergere con forza il desiderio, la necessità di praticare e di condividere “valori positivi, autentici, sostenibili”</w:t>
      </w:r>
    </w:p>
    <w:p w:rsidR="00000000" w:rsidDel="00000000" w:rsidP="00000000" w:rsidRDefault="00000000" w:rsidRPr="00000000" w14:paraId="00000010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Di vivere eticamente. In termini ambientali, produttivi, culturali.</w:t>
      </w:r>
    </w:p>
    <w:p w:rsidR="00000000" w:rsidDel="00000000" w:rsidP="00000000" w:rsidRDefault="00000000" w:rsidRPr="00000000" w14:paraId="00000011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 </w:t>
      </w:r>
      <w:r w:rsidDel="00000000" w:rsidR="00000000" w:rsidRPr="00000000">
        <w:rPr>
          <w:rFonts w:ascii="Lora" w:cs="Lora" w:eastAsia="Lora" w:hAnsi="Lora"/>
          <w:rtl w:val="0"/>
        </w:rPr>
        <w:t xml:space="preserve">tal</w:t>
      </w:r>
      <w:r w:rsidDel="00000000" w:rsidR="00000000" w:rsidRPr="00000000">
        <w:rPr>
          <w:rFonts w:ascii="Lora" w:cs="Lora" w:eastAsia="Lora" w:hAnsi="Lora"/>
          <w:rtl w:val="0"/>
        </w:rPr>
        <w:t xml:space="preserve"> ottica risulta fondamentale porre al centro del tavolo di lavoro i beni comuni.</w:t>
      </w:r>
    </w:p>
    <w:p w:rsidR="00000000" w:rsidDel="00000000" w:rsidP="00000000" w:rsidRDefault="00000000" w:rsidRPr="00000000" w14:paraId="00000012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definizione di beni comuni, secondo l’interpretazione di Stefano Rodotà, «rinvia al fatto che essi sono indispensabili per la soddisfazione di bisogni fondamentali delle persone. </w:t>
      </w:r>
    </w:p>
    <w:p w:rsidR="00000000" w:rsidDel="00000000" w:rsidP="00000000" w:rsidRDefault="00000000" w:rsidRPr="00000000" w14:paraId="00000013">
      <w:pPr>
        <w:jc w:val="both"/>
        <w:rPr>
          <w:rFonts w:ascii="Lora" w:cs="Lora" w:eastAsia="Lora" w:hAnsi="Lora"/>
        </w:rPr>
      </w:pPr>
      <w:bookmarkStart w:colFirst="0" w:colLast="0" w:name="_heading=h.gjdgxs" w:id="2"/>
      <w:bookmarkEnd w:id="2"/>
      <w:r w:rsidDel="00000000" w:rsidR="00000000" w:rsidRPr="00000000">
        <w:rPr>
          <w:rFonts w:ascii="Lora" w:cs="Lora" w:eastAsia="Lora" w:hAnsi="Lora"/>
          <w:rtl w:val="0"/>
        </w:rPr>
        <w:t xml:space="preserve">Si istituisce così un nuovo rapporto tra Il sentiero strettissimo aperto tra la gestione comunitaria e/o cooperativa dei beni comuni, in dialogo con le istituzioni da un lato, e dall’altro la loro esplicita dismissione da parte pubblica come la loro esternalizzazione camuffata da un malinteso principio di sussidiarietà, è il crinale lungo il quale si sono mosse le esperienze europee e italiane che hanno provato a pensare e concretizzare il dettato costituzionale nella direzione indicata da Rodotà. mondo delle persone e mondo dei beni» (Rodotà, 2013).</w:t>
      </w:r>
    </w:p>
    <w:p w:rsidR="00000000" w:rsidDel="00000000" w:rsidP="00000000" w:rsidRDefault="00000000" w:rsidRPr="00000000" w14:paraId="00000014">
      <w:pPr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 beni comuni possono essere risorse o infrastrutture fisiche o immateriali soggette a modelli di governance e gestione caratterizzati da un uso condiviso e appropriazione comune dei beni/servizi e da un accesso aperto ed eguale. </w:t>
      </w:r>
    </w:p>
    <w:p w:rsidR="00000000" w:rsidDel="00000000" w:rsidP="00000000" w:rsidRDefault="00000000" w:rsidRPr="00000000" w14:paraId="0000001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L’attivazione propositiva di un bene comune consente di dare una risposta pratica e attuabile alle perduranti crisi ecologiche, alla disoccupazione, al progressivo scadimento della qualità degli alimenti, alla frammentazione del tessuto sociale rurale. </w:t>
      </w:r>
    </w:p>
    <w:p w:rsidR="00000000" w:rsidDel="00000000" w:rsidP="00000000" w:rsidRDefault="00000000" w:rsidRPr="00000000" w14:paraId="0000001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Tra i settori che registrano un cambiamento ed una forte innovazione sociale e normativa orientate ai beni comuni c’è quello dell’agricoltura, dove si stanno sperimentando forme di gestione condivisa dei fattori produttivi e nuovi approcci di mutualismo comunitario.</w:t>
      </w:r>
    </w:p>
    <w:p w:rsidR="00000000" w:rsidDel="00000000" w:rsidP="00000000" w:rsidRDefault="00000000" w:rsidRPr="00000000" w14:paraId="0000001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Per questo la grande diffusione di orti urbani, giardini condivisi, aziende agricole collettive, creati e curati da associazioni di vicini su piccoli appezzamenti messi a disposizione dagli enti locali o occupati abusivamente, sono delle parti di campagna inserite nelle città il cui ruolo non è soltanto quello di offrire ai cittadini l’opportunità di “sporcarsi le mani con la Terra”. </w:t>
      </w:r>
    </w:p>
    <w:p w:rsidR="00000000" w:rsidDel="00000000" w:rsidP="00000000" w:rsidRDefault="00000000" w:rsidRPr="00000000" w14:paraId="0000001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Esse sono esperienze viventi della ricerca di un nuovo equilibrio tra esseri umani e ecosistemi, che passa attraverso la reciproca responsabilità attivata da una relazione di cura, un’esperienza non mediata dal denaro, ma animata dalla partecipazione al comune destino di viventi.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REV GREEN Associazione no Profit - C.F. 92089860602 Via Borgo Cave, 73 – 03020 ARNARA (FR)                    pec: revgreen@pec.it - e-mail: associazionerevgreen@gmail.com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5543550</wp:posOffset>
          </wp:positionH>
          <wp:positionV relativeFrom="paragraph">
            <wp:posOffset>-335279</wp:posOffset>
          </wp:positionV>
          <wp:extent cx="1105853" cy="71090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5853" cy="710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-447674</wp:posOffset>
          </wp:positionH>
          <wp:positionV relativeFrom="paragraph">
            <wp:posOffset>-171449</wp:posOffset>
          </wp:positionV>
          <wp:extent cx="3037523" cy="373466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7423" l="1437" r="1223" t="9244"/>
                  <a:stretch>
                    <a:fillRect/>
                  </a:stretch>
                </pic:blipFill>
                <pic:spPr>
                  <a:xfrm>
                    <a:off x="0" y="0"/>
                    <a:ext cx="3037523" cy="3734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1359B"/>
    <w:rPr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8355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Vb9/rovBldi1z66KTTLmQ2ZcQ==">CgMxLjAyDWgudXdra3Z6M3cxaXcyDmguazNza2h6YXF3YW81MghoLmdqZGd4czgAciExQnVuTjYteXJsb3FLVzVXQ3RsZnZYVWhUcHpDV2x5TzQ=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2024-10-24T14:41:00Z</dcterms:created>
  <dc:creator>Chiara Lucia Guarino</dc:creator>
</cp:coreProperties>
</file>