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sz w:val="2"/>
          <w:szCs w:val="2"/>
        </w:rPr>
      </w:pPr>
      <w:bookmarkStart w:colFirst="0" w:colLast="0" w:name="_heading=h.h6ujk0m7jjn8" w:id="0"/>
      <w:bookmarkEnd w:id="0"/>
      <w:r w:rsidDel="00000000" w:rsidR="00000000" w:rsidRPr="00000000">
        <w:rPr>
          <w:rtl w:val="0"/>
        </w:rPr>
      </w:r>
    </w:p>
    <w:p w:rsidR="00000000" w:rsidDel="00000000" w:rsidP="00000000" w:rsidRDefault="00000000" w:rsidRPr="00000000" w14:paraId="00000002">
      <w:pPr>
        <w:pStyle w:val="Heading2"/>
        <w:jc w:val="center"/>
        <w:rPr>
          <w:rFonts w:ascii="Lora" w:cs="Lora" w:eastAsia="Lora" w:hAnsi="Lora"/>
          <w:i w:val="1"/>
          <w:sz w:val="22"/>
          <w:szCs w:val="22"/>
        </w:rPr>
      </w:pPr>
      <w:bookmarkStart w:colFirst="0" w:colLast="0" w:name="_heading=h.uwkkvz3w1iw" w:id="1"/>
      <w:bookmarkEnd w:id="1"/>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3">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Relazione introduttiva</w:t>
      </w:r>
      <w:r w:rsidDel="00000000" w:rsidR="00000000" w:rsidRPr="00000000">
        <w:rPr>
          <w:rFonts w:ascii="Lora" w:cs="Lora" w:eastAsia="Lora" w:hAnsi="Lora"/>
          <w:sz w:val="22"/>
          <w:szCs w:val="22"/>
          <w:rtl w:val="0"/>
        </w:rPr>
        <w:t xml:space="preserve"> convegno 16/12/2022 </w:t>
      </w:r>
    </w:p>
    <w:p w:rsidR="00000000" w:rsidDel="00000000" w:rsidP="00000000" w:rsidRDefault="00000000" w:rsidRPr="00000000" w14:paraId="00000004">
      <w:pPr>
        <w:rPr>
          <w:sz w:val="4"/>
          <w:szCs w:val="4"/>
        </w:rPr>
      </w:pPr>
      <w:r w:rsidDel="00000000" w:rsidR="00000000" w:rsidRPr="00000000">
        <w:rPr>
          <w:rtl w:val="0"/>
        </w:rPr>
      </w:r>
    </w:p>
    <w:p w:rsidR="00000000" w:rsidDel="00000000" w:rsidP="00000000" w:rsidRDefault="00000000" w:rsidRPr="00000000" w14:paraId="00000005">
      <w:pPr>
        <w:pStyle w:val="Title"/>
        <w:keepNext w:val="0"/>
        <w:keepLines w:val="0"/>
        <w:widowControl w:val="0"/>
        <w:spacing w:after="0" w:before="65" w:lineRule="auto"/>
        <w:ind w:left="97" w:right="85" w:firstLine="0"/>
        <w:jc w:val="center"/>
        <w:rPr>
          <w:rFonts w:ascii="Lora" w:cs="Lora" w:eastAsia="Lora" w:hAnsi="Lora"/>
          <w:i w:val="1"/>
          <w:sz w:val="24"/>
          <w:szCs w:val="24"/>
        </w:rPr>
      </w:pPr>
      <w:bookmarkStart w:colFirst="0" w:colLast="0" w:name="_heading=h.ujjve1dpadmf" w:id="2"/>
      <w:bookmarkEnd w:id="2"/>
      <w:r w:rsidDel="00000000" w:rsidR="00000000" w:rsidRPr="00000000">
        <w:rPr>
          <w:rFonts w:ascii="Lora" w:cs="Lora" w:eastAsia="Lora" w:hAnsi="Lora"/>
          <w:i w:val="1"/>
          <w:sz w:val="24"/>
          <w:szCs w:val="24"/>
          <w:rtl w:val="0"/>
        </w:rPr>
        <w:t xml:space="preserve">“</w:t>
      </w:r>
      <w:r w:rsidDel="00000000" w:rsidR="00000000" w:rsidRPr="00000000">
        <w:rPr>
          <w:rFonts w:ascii="Lora" w:cs="Lora" w:eastAsia="Lora" w:hAnsi="Lora"/>
          <w:i w:val="1"/>
          <w:sz w:val="26"/>
          <w:szCs w:val="26"/>
          <w:rtl w:val="0"/>
        </w:rPr>
        <w:t xml:space="preserve">L'importanza di un nuovo patto tra società civile e tessuto produttivo, tra ambiente ed economia per costruire un’Europa che parta dai territori</w:t>
      </w:r>
      <w:r w:rsidDel="00000000" w:rsidR="00000000" w:rsidRPr="00000000">
        <w:rPr>
          <w:rFonts w:ascii="Lora" w:cs="Lora" w:eastAsia="Lora" w:hAnsi="Lora"/>
          <w:i w:val="1"/>
          <w:sz w:val="24"/>
          <w:szCs w:val="24"/>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Il convegno di oggi 16 dicembre affronterà l'importante tema delle connessioni, delle relazioni, della centralità di dinamiche ibride ed intra-settoriali nei processi di sviluppo rurale, come illustrato nel titolo  "L'importanza di un nuovo patto tra società civile e tessuto produttivo, tra ambiente ed economia per costruire un’Europa che parta dai territori".</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Altro asse centrale dell'appuntamento odierno - strettamente interconnesso, anzi interdipendente, con quello precedente - è l'indispensabilità di una "tuned up multilevel governance"; di una dialettica, biunivoca e reciprocamente valorizzante tra territori ed Europa. Nella piena affermazione di quel "sistema virtuoso" tra top down e bottom up che è condizione ed architrave portante nei processi di sviluppo rurale.</w:t>
      </w:r>
    </w:p>
    <w:p w:rsidR="00000000" w:rsidDel="00000000" w:rsidP="00000000" w:rsidRDefault="00000000" w:rsidRPr="00000000" w14:paraId="00000009">
      <w:pPr>
        <w:jc w:val="both"/>
        <w:rPr>
          <w:rFonts w:ascii="Lora" w:cs="Lora" w:eastAsia="Lora" w:hAnsi="Lora"/>
        </w:rPr>
      </w:pPr>
      <w:r w:rsidDel="00000000" w:rsidR="00000000" w:rsidRPr="00000000">
        <w:rPr>
          <w:rFonts w:ascii="Lora" w:cs="Lora" w:eastAsia="Lora" w:hAnsi="Lora"/>
          <w:rtl w:val="0"/>
        </w:rPr>
        <w:t xml:space="preserve">Connessioni, filiere ed architravi costituenti che, sia nella proiezione orizzontale che in quella verticale, abbisognano di organizzazione sistematizzazione. </w:t>
      </w:r>
    </w:p>
    <w:p w:rsidR="00000000" w:rsidDel="00000000" w:rsidP="00000000" w:rsidRDefault="00000000" w:rsidRPr="00000000" w14:paraId="0000000A">
      <w:pPr>
        <w:jc w:val="both"/>
        <w:rPr>
          <w:rFonts w:ascii="Lora" w:cs="Lora" w:eastAsia="Lora" w:hAnsi="Lora"/>
        </w:rPr>
      </w:pPr>
      <w:r w:rsidDel="00000000" w:rsidR="00000000" w:rsidRPr="00000000">
        <w:rPr>
          <w:rFonts w:ascii="Lora" w:cs="Lora" w:eastAsia="Lora" w:hAnsi="Lora"/>
          <w:rtl w:val="0"/>
        </w:rPr>
        <w:t xml:space="preserve">Nella definizione e nella sedimentazione di questi reticoli a geometria variabile e reciprocamente interconnessi; nel rafforzamento di una dialettica sinergica tra i differenti comparti economici e tra gli stessi e la società civile; nel praticare e strutturare l'indispensabile processo sistemico di innovazione, sociale e tecnologica, del territorio; nel dipanare ed intelaiare queste differenti traiettorie e piani di intervento risulta quanto mai fondamentale e centrale il ruolo del mondo della ricerca, dell'Università.</w:t>
      </w:r>
    </w:p>
    <w:p w:rsidR="00000000" w:rsidDel="00000000" w:rsidP="00000000" w:rsidRDefault="00000000" w:rsidRPr="00000000" w14:paraId="0000000B">
      <w:pPr>
        <w:jc w:val="both"/>
        <w:rPr>
          <w:rFonts w:ascii="Lora" w:cs="Lora" w:eastAsia="Lora" w:hAnsi="Lora"/>
        </w:rPr>
      </w:pPr>
      <w:r w:rsidDel="00000000" w:rsidR="00000000" w:rsidRPr="00000000">
        <w:rPr>
          <w:rFonts w:ascii="Lora" w:cs="Lora" w:eastAsia="Lora" w:hAnsi="Lora"/>
          <w:rtl w:val="0"/>
        </w:rPr>
        <w:t xml:space="preserve">Punto di riferimento e "soggetto facilitatore" nello sviluppare e dare piena forza e prospettiva, ad integrare ed interconnettere, a proiettare e praticare visioni e "processi innovativi"; l'Università ha infatti l'indispensabile funzione e competenze volte al trasferimento scientifico, tecnologico e culturale e di trasformazione produttiva delle conoscenze, attraverso processi di interazione diretta dell’Università con la società civile e il tessuto imprenditoriale, con l’obiettivo di promuovere la crescita economica e sociale del territorio, affinché la conoscenza diventi strumentale per l’ottenimento di benefici di natura sociale, culturale ed economica.</w:t>
      </w:r>
    </w:p>
    <w:p w:rsidR="00000000" w:rsidDel="00000000" w:rsidP="00000000" w:rsidRDefault="00000000" w:rsidRPr="00000000" w14:paraId="0000000C">
      <w:pPr>
        <w:jc w:val="both"/>
        <w:rPr>
          <w:rFonts w:ascii="Lora" w:cs="Lora" w:eastAsia="Lora" w:hAnsi="Lora"/>
        </w:rPr>
      </w:pPr>
      <w:r w:rsidDel="00000000" w:rsidR="00000000" w:rsidRPr="00000000">
        <w:rPr>
          <w:rFonts w:ascii="Lora" w:cs="Lora" w:eastAsia="Lora" w:hAnsi="Lora"/>
          <w:rtl w:val="0"/>
        </w:rPr>
        <w:t xml:space="preserve">Questo sarà il piano di confronto ed i temi al centro dei lavori, del confronto, degli approfondimenti e delle analisi del laboratorio odierno, che avrà come relatore principale il </w:t>
      </w:r>
    </w:p>
    <w:p w:rsidR="00000000" w:rsidDel="00000000" w:rsidP="00000000" w:rsidRDefault="00000000" w:rsidRPr="00000000" w14:paraId="0000000D">
      <w:pPr>
        <w:jc w:val="both"/>
        <w:rPr>
          <w:rFonts w:ascii="Lora" w:cs="Lora" w:eastAsia="Lora" w:hAnsi="Lora"/>
        </w:rPr>
      </w:pPr>
      <w:r w:rsidDel="00000000" w:rsidR="00000000" w:rsidRPr="00000000">
        <w:rPr>
          <w:rtl w:val="0"/>
        </w:rPr>
      </w:r>
    </w:p>
    <w:p w:rsidR="00000000" w:rsidDel="00000000" w:rsidP="00000000" w:rsidRDefault="00000000" w:rsidRPr="00000000" w14:paraId="0000000E">
      <w:pPr>
        <w:jc w:val="both"/>
        <w:rPr>
          <w:rFonts w:ascii="Lora" w:cs="Lora" w:eastAsia="Lora" w:hAnsi="Lora"/>
          <w:sz w:val="14"/>
          <w:szCs w:val="14"/>
        </w:rPr>
      </w:pPr>
      <w:r w:rsidDel="00000000" w:rsidR="00000000" w:rsidRPr="00000000">
        <w:rPr>
          <w:rtl w:val="0"/>
        </w:rPr>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Professor Carlo Russo, docente di Economia Agraria presso l'Università degli Studi di Cassino e del Lazio Meridionale.</w:t>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Un convegno, pertanto, di estrema importanza, che si colloca pienamente nell'alveo e nel senso del progetto "Agrifood chain storytelling", promosso dall'Associazione REV Green e volto ad informare e promuovere connessioni, confronto, analisi e supportare lo sviluppo di un "senso comune", di una partecipazione viva ed attiva, del tessuto socio-economico del GAL Terre di Argil alla strategia ed processo di sviluppo locale in fieri.</w:t>
      </w:r>
    </w:p>
    <w:p w:rsidR="00000000" w:rsidDel="00000000" w:rsidP="00000000" w:rsidRDefault="00000000" w:rsidRPr="00000000" w14:paraId="00000011">
      <w:pPr>
        <w:jc w:val="both"/>
        <w:rPr>
          <w:rFonts w:ascii="Lora" w:cs="Lora" w:eastAsia="Lora" w:hAnsi="Lora"/>
        </w:rPr>
      </w:pPr>
      <w:r w:rsidDel="00000000" w:rsidR="00000000" w:rsidRPr="00000000">
        <w:rPr>
          <w:rFonts w:ascii="Lora" w:cs="Lora" w:eastAsia="Lora" w:hAnsi="Lora"/>
          <w:rtl w:val="0"/>
        </w:rPr>
        <w:t xml:space="preserve">Partendo quindi da questa lettura generale che vede nell’innovazione sociale, nell’accrescimento delle competenze e nella necessità di </w:t>
      </w:r>
      <w:r w:rsidDel="00000000" w:rsidR="00000000" w:rsidRPr="00000000">
        <w:rPr>
          <w:rFonts w:ascii="Lora" w:cs="Lora" w:eastAsia="Lora" w:hAnsi="Lora"/>
          <w:rtl w:val="0"/>
        </w:rPr>
        <w:t xml:space="preserve">un’interconnessione</w:t>
      </w:r>
      <w:r w:rsidDel="00000000" w:rsidR="00000000" w:rsidRPr="00000000">
        <w:rPr>
          <w:rFonts w:ascii="Lora" w:cs="Lora" w:eastAsia="Lora" w:hAnsi="Lora"/>
          <w:rtl w:val="0"/>
        </w:rPr>
        <w:t xml:space="preserve"> trasversale tra territori e livelli di governance differenti per la costruzione di politiche di sviluppo locale dal basso,  si andrà, nel seminario odierno, ad affrontare un aspetto chiave:</w:t>
      </w:r>
    </w:p>
    <w:p w:rsidR="00000000" w:rsidDel="00000000" w:rsidP="00000000" w:rsidRDefault="00000000" w:rsidRPr="00000000" w14:paraId="00000012">
      <w:pPr>
        <w:jc w:val="both"/>
        <w:rPr>
          <w:rFonts w:ascii="Lora" w:cs="Lora" w:eastAsia="Lora" w:hAnsi="Lora"/>
          <w:sz w:val="2"/>
          <w:szCs w:val="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la centralità e la necessità dell’innovazione tecnologica e sociale del comparto agroalimentare; l’accrescimento ed il rafforzamento delle competenze e del sistema dei saperi. </w:t>
      </w:r>
    </w:p>
    <w:p w:rsidR="00000000" w:rsidDel="00000000" w:rsidP="00000000" w:rsidRDefault="00000000" w:rsidRPr="00000000" w14:paraId="00000014">
      <w:pPr>
        <w:jc w:val="both"/>
        <w:rPr>
          <w:rFonts w:ascii="Lora" w:cs="Lora" w:eastAsia="Lora" w:hAnsi="Lora"/>
        </w:rPr>
      </w:pPr>
      <w:r w:rsidDel="00000000" w:rsidR="00000000" w:rsidRPr="00000000">
        <w:rPr>
          <w:rFonts w:ascii="Lora" w:cs="Lora" w:eastAsia="Lora" w:hAnsi="Lora"/>
          <w:rtl w:val="0"/>
        </w:rPr>
        <w:t xml:space="preserve">Nuovi processi, nuove traiettorie e pratiche economiche e sociali che caratterizzano la filiera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ed i territori non metropolitani. Germogli  in fioritura che stanno già </w:t>
      </w:r>
      <w:r w:rsidDel="00000000" w:rsidR="00000000" w:rsidRPr="00000000">
        <w:rPr>
          <w:rFonts w:ascii="Lora" w:cs="Lora" w:eastAsia="Lora" w:hAnsi="Lora"/>
          <w:rtl w:val="0"/>
        </w:rPr>
        <w:t xml:space="preserve">colorando</w:t>
      </w:r>
      <w:r w:rsidDel="00000000" w:rsidR="00000000" w:rsidRPr="00000000">
        <w:rPr>
          <w:rFonts w:ascii="Lora" w:cs="Lora" w:eastAsia="Lora" w:hAnsi="Lora"/>
          <w:rtl w:val="0"/>
        </w:rPr>
        <w:t xml:space="preserve"> molti dei territori e delle agricolture di prossimità. Vera espressione di cambiamenti </w:t>
      </w:r>
      <w:r w:rsidDel="00000000" w:rsidR="00000000" w:rsidRPr="00000000">
        <w:rPr>
          <w:rFonts w:ascii="Lora" w:cs="Lora" w:eastAsia="Lora" w:hAnsi="Lora"/>
          <w:rtl w:val="0"/>
        </w:rPr>
        <w:t xml:space="preserve">socio-economici; in</w:t>
      </w:r>
      <w:r w:rsidDel="00000000" w:rsidR="00000000" w:rsidRPr="00000000">
        <w:rPr>
          <w:rFonts w:ascii="Lora" w:cs="Lora" w:eastAsia="Lora" w:hAnsi="Lora"/>
          <w:rtl w:val="0"/>
        </w:rPr>
        <w:t xml:space="preserve"> una dimensione rurale che diviene “prateria e frontiera”. </w:t>
      </w:r>
    </w:p>
    <w:p w:rsidR="00000000" w:rsidDel="00000000" w:rsidP="00000000" w:rsidRDefault="00000000" w:rsidRPr="00000000" w14:paraId="00000015">
      <w:pPr>
        <w:jc w:val="both"/>
        <w:rPr>
          <w:rFonts w:ascii="Lora" w:cs="Lora" w:eastAsia="Lora" w:hAnsi="Lora"/>
        </w:rPr>
      </w:pPr>
      <w:r w:rsidDel="00000000" w:rsidR="00000000" w:rsidRPr="00000000">
        <w:rPr>
          <w:rFonts w:ascii="Lora" w:cs="Lora" w:eastAsia="Lora" w:hAnsi="Lora"/>
          <w:rtl w:val="0"/>
        </w:rPr>
        <w:t xml:space="preserve">Un percorso di innovazione che trova espressione e forza con geometrie variabili, attraverso fenomeni carsici, e che iniziano a cristallizzarsi e sedimentare. Le agricolture e la ruralità sono frontiera socio-economica di innovazione sociale e tecnologica...</w:t>
      </w:r>
    </w:p>
    <w:p w:rsidR="00000000" w:rsidDel="00000000" w:rsidP="00000000" w:rsidRDefault="00000000" w:rsidRPr="00000000" w14:paraId="00000016">
      <w:pPr>
        <w:jc w:val="both"/>
        <w:rPr>
          <w:rFonts w:ascii="Lora" w:cs="Lora" w:eastAsia="Lora" w:hAnsi="Lora"/>
        </w:rPr>
      </w:pPr>
      <w:r w:rsidDel="00000000" w:rsidR="00000000" w:rsidRPr="00000000">
        <w:rPr>
          <w:rFonts w:ascii="Lora" w:cs="Lora" w:eastAsia="Lora" w:hAnsi="Lora"/>
          <w:rtl w:val="0"/>
        </w:rPr>
        <w:t xml:space="preserve">La dimensione eterogenea, la discontinuita’ e la trasversalita’ delle stesse rendono necessaria che tale innovazione divenga strumento ed obiettivo al centro di un nuovo patto tra societa’ e ambiente, tra economia ed istituzioni.  </w:t>
      </w:r>
    </w:p>
    <w:p w:rsidR="00000000" w:rsidDel="00000000" w:rsidP="00000000" w:rsidRDefault="00000000" w:rsidRPr="00000000" w14:paraId="00000017">
      <w:pPr>
        <w:jc w:val="both"/>
        <w:rPr>
          <w:rFonts w:ascii="Lora" w:cs="Lora" w:eastAsia="Lora" w:hAnsi="Lora"/>
        </w:rPr>
      </w:pPr>
      <w:r w:rsidDel="00000000" w:rsidR="00000000" w:rsidRPr="00000000">
        <w:rPr>
          <w:rFonts w:ascii="Lora" w:cs="Lora" w:eastAsia="Lora" w:hAnsi="Lora"/>
          <w:rtl w:val="0"/>
        </w:rPr>
        <w:t xml:space="preserve">E la tensione comune di tutti noi - operatori ed attori, studiosi ed imprenditori del comparto primario e dello sviluppo rurale – deve essere volta a ridefinire e rinsaldare questo patto costituente.</w:t>
      </w:r>
    </w:p>
    <w:p w:rsidR="00000000" w:rsidDel="00000000" w:rsidP="00000000" w:rsidRDefault="00000000" w:rsidRPr="00000000" w14:paraId="00000018">
      <w:pPr>
        <w:jc w:val="both"/>
        <w:rPr>
          <w:rFonts w:ascii="Lora" w:cs="Lora" w:eastAsia="Lora" w:hAnsi="Lora"/>
        </w:rPr>
      </w:pPr>
      <w:r w:rsidDel="00000000" w:rsidR="00000000" w:rsidRPr="00000000">
        <w:rPr>
          <w:rFonts w:ascii="Lora" w:cs="Lora" w:eastAsia="Lora" w:hAnsi="Lora"/>
          <w:rtl w:val="0"/>
        </w:rPr>
        <w:t xml:space="preserve">Un cambio di fase in cui speriamo possano sempre maggiore protagonismo quelle “nuove forme di produzione, offerta di servizi”, “quelle innovative dinamiche socio-economiche, fortemente ibride” che stanno caratterizzando e segnando in modo importante soprattutto </w:t>
      </w:r>
      <w:r w:rsidDel="00000000" w:rsidR="00000000" w:rsidRPr="00000000">
        <w:rPr>
          <w:rFonts w:ascii="Lora" w:cs="Lora" w:eastAsia="Lora" w:hAnsi="Lora"/>
          <w:rtl w:val="0"/>
        </w:rPr>
        <w:t xml:space="preserve">“quell’agricoltura</w:t>
      </w:r>
      <w:r w:rsidDel="00000000" w:rsidR="00000000" w:rsidRPr="00000000">
        <w:rPr>
          <w:rFonts w:ascii="Lora" w:cs="Lora" w:eastAsia="Lora" w:hAnsi="Lora"/>
          <w:rtl w:val="0"/>
        </w:rPr>
        <w:t xml:space="preserve"> di prossimità” che fa della simbiosi azienda-territorio, della valorizzazione e della biodiversità, della complementarità tra tradizione ed innovazione i propri tratti distintivi.</w:t>
      </w:r>
    </w:p>
    <w:p w:rsidR="00000000" w:rsidDel="00000000" w:rsidP="00000000" w:rsidRDefault="00000000" w:rsidRPr="00000000" w14:paraId="00000019">
      <w:pPr>
        <w:jc w:val="both"/>
        <w:rPr>
          <w:rFonts w:ascii="Lora" w:cs="Lora" w:eastAsia="Lora" w:hAnsi="Lora"/>
        </w:rPr>
      </w:pPr>
      <w:r w:rsidDel="00000000" w:rsidR="00000000" w:rsidRPr="00000000">
        <w:rPr>
          <w:rtl w:val="0"/>
        </w:rPr>
      </w:r>
    </w:p>
    <w:p w:rsidR="00000000" w:rsidDel="00000000" w:rsidP="00000000" w:rsidRDefault="00000000" w:rsidRPr="00000000" w14:paraId="0000001A">
      <w:pPr>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1B">
      <w:pPr>
        <w:jc w:val="both"/>
        <w:rPr>
          <w:rFonts w:ascii="Lora" w:cs="Lora" w:eastAsia="Lora" w:hAnsi="Lora"/>
        </w:rPr>
      </w:pPr>
      <w:r w:rsidDel="00000000" w:rsidR="00000000" w:rsidRPr="00000000">
        <w:rPr>
          <w:rFonts w:ascii="Lora" w:cs="Lora" w:eastAsia="Lora" w:hAnsi="Lora"/>
          <w:rtl w:val="0"/>
        </w:rPr>
        <w:t xml:space="preserve">Un’ innovazione sociale, culturale e produttiva che quotidianamente sperimenta e consolida processi e prassi in discontinuità con il passato ma complementari, e fisiologicamente connaturate, a quell’idea  di sviluppo locale che fa del connubio territorio/prodotto e della cooperazione tra settori economici e tra gli stessi e la società civile e le istituzioni la propria cornice di riferimento.</w:t>
      </w:r>
    </w:p>
    <w:p w:rsidR="00000000" w:rsidDel="00000000" w:rsidP="00000000" w:rsidRDefault="00000000" w:rsidRPr="00000000" w14:paraId="0000001C">
      <w:pPr>
        <w:jc w:val="both"/>
        <w:rPr>
          <w:rFonts w:ascii="Lora" w:cs="Lora" w:eastAsia="Lora" w:hAnsi="Lora"/>
        </w:rPr>
      </w:pPr>
      <w:r w:rsidDel="00000000" w:rsidR="00000000" w:rsidRPr="00000000">
        <w:rPr>
          <w:rFonts w:ascii="Lora" w:cs="Lora" w:eastAsia="Lora" w:hAnsi="Lora"/>
          <w:rtl w:val="0"/>
        </w:rPr>
        <w:t xml:space="preserve">Un cambio di fase che, però, abbisogna di scelte politiche, visioni e strategia, di una nuova e rafforzata interpretazione dell’intermediazione, conditio sine qua non nella discontinuità rurale. Una intermediazione rinnovata cui ci auguriamo possa fare da sponda un sistema camerale sempre più determinante e centrale  nei processi di sviluppo locale. </w:t>
      </w:r>
    </w:p>
    <w:p w:rsidR="00000000" w:rsidDel="00000000" w:rsidP="00000000" w:rsidRDefault="00000000" w:rsidRPr="00000000" w14:paraId="0000001D">
      <w:pPr>
        <w:jc w:val="both"/>
        <w:rPr>
          <w:rFonts w:ascii="Lora" w:cs="Lora" w:eastAsia="Lora" w:hAnsi="Lora"/>
        </w:rPr>
      </w:pPr>
      <w:r w:rsidDel="00000000" w:rsidR="00000000" w:rsidRPr="00000000">
        <w:rPr>
          <w:rFonts w:ascii="Lora" w:cs="Lora" w:eastAsia="Lora" w:hAnsi="Lora"/>
          <w:rtl w:val="0"/>
        </w:rPr>
        <w:t xml:space="preserve">Quei processi che per essere davvero efficienti devono sintetizzare le indicazioni top down e “la spinta bottom up” attraverso nuove cinghie di trasmissione ed interpreti della moltitudine e della pluralità territoriale; anche interpretando e declinando gli innovation broker con sfumature non solo scientifica ma a anche socio-economica. </w:t>
      </w:r>
    </w:p>
    <w:p w:rsidR="00000000" w:rsidDel="00000000" w:rsidP="00000000" w:rsidRDefault="00000000" w:rsidRPr="00000000" w14:paraId="0000001E">
      <w:pPr>
        <w:jc w:val="both"/>
        <w:rPr>
          <w:rFonts w:ascii="Lora" w:cs="Lora" w:eastAsia="Lora" w:hAnsi="Lora"/>
        </w:rPr>
      </w:pPr>
      <w:r w:rsidDel="00000000" w:rsidR="00000000" w:rsidRPr="00000000">
        <w:rPr>
          <w:rFonts w:ascii="Lora" w:cs="Lora" w:eastAsia="Lora" w:hAnsi="Lora"/>
          <w:rtl w:val="0"/>
        </w:rPr>
        <w:t xml:space="preserve">Un cambio di fase che è già in atto,  i cui pilastri e ramificazioni poggiano già sulle spalle, sui desideri e sul lavoro di numerosi lavoratori ed imprenditrici che – soprattutto nelle più interne e difficili del nostro Paese – quotidianamente danno forza e futuro alla dimensione rurale. </w:t>
      </w:r>
    </w:p>
    <w:p w:rsidR="00000000" w:rsidDel="00000000" w:rsidP="00000000" w:rsidRDefault="00000000" w:rsidRPr="00000000" w14:paraId="0000001F">
      <w:pPr>
        <w:jc w:val="both"/>
        <w:rPr>
          <w:rFonts w:ascii="Lora" w:cs="Lora" w:eastAsia="Lora" w:hAnsi="Lora"/>
        </w:rPr>
      </w:pPr>
      <w:r w:rsidDel="00000000" w:rsidR="00000000" w:rsidRPr="00000000">
        <w:rPr>
          <w:rFonts w:ascii="Lora" w:cs="Lora" w:eastAsia="Lora" w:hAnsi="Lora"/>
          <w:rtl w:val="0"/>
        </w:rPr>
        <w:t xml:space="preserve">Andiamo a ripercorrere- attraverso le parole dei protagonisti – i sentieri e gli orizzonti che sottendono questi percorsi; esperienze, se vogliamo, antesignane e pioniere, avamposti e best practice attraverso e grazie a cui la nostra ruralità possa davvero praticare lo scarto necessario.</w:t>
      </w:r>
    </w:p>
    <w:p w:rsidR="00000000" w:rsidDel="00000000" w:rsidP="00000000" w:rsidRDefault="00000000" w:rsidRPr="00000000" w14:paraId="00000020">
      <w:pPr>
        <w:jc w:val="both"/>
        <w:rPr>
          <w:rFonts w:ascii="Lora" w:cs="Lora" w:eastAsia="Lora" w:hAnsi="Lora"/>
        </w:rPr>
      </w:pPr>
      <w:r w:rsidDel="00000000" w:rsidR="00000000" w:rsidRPr="00000000">
        <w:rPr>
          <w:rFonts w:ascii="Lora" w:cs="Lora" w:eastAsia="Lora" w:hAnsi="Lora"/>
          <w:rtl w:val="0"/>
        </w:rPr>
        <w:t xml:space="preserve">E affermare quella dignità di cui è foriera e che merita. Uno scarto dovuto ancor di più nel momento attuale. Periodo di estrema transizione, di movimenti tellurici e carsici, di ridefinizione degli obiettivi ed efficientamento delle strategie.</w:t>
      </w:r>
    </w:p>
    <w:p w:rsidR="00000000" w:rsidDel="00000000" w:rsidP="00000000" w:rsidRDefault="00000000" w:rsidRPr="00000000" w14:paraId="00000021">
      <w:pPr>
        <w:jc w:val="both"/>
        <w:rPr>
          <w:rFonts w:ascii="Lora" w:cs="Lora" w:eastAsia="Lora" w:hAnsi="Lora"/>
        </w:rPr>
      </w:pPr>
      <w:r w:rsidDel="00000000" w:rsidR="00000000" w:rsidRPr="00000000">
        <w:rPr>
          <w:rFonts w:ascii="Lora" w:cs="Lora" w:eastAsia="Lora" w:hAnsi="Lora"/>
          <w:rtl w:val="0"/>
        </w:rPr>
        <w:t xml:space="preserve">Nell’era della conoscenza, lo sviluppo locale è direttamente correlato alla capacità dei territori di rispondere alle sfide in un contesto mondiale globalizzato e competitivo. </w:t>
      </w:r>
    </w:p>
    <w:p w:rsidR="00000000" w:rsidDel="00000000" w:rsidP="00000000" w:rsidRDefault="00000000" w:rsidRPr="00000000" w14:paraId="00000022">
      <w:pPr>
        <w:jc w:val="both"/>
        <w:rPr>
          <w:rFonts w:ascii="Lora" w:cs="Lora" w:eastAsia="Lora" w:hAnsi="Lora"/>
        </w:rPr>
      </w:pPr>
      <w:r w:rsidDel="00000000" w:rsidR="00000000" w:rsidRPr="00000000">
        <w:rPr>
          <w:rFonts w:ascii="Lora" w:cs="Lora" w:eastAsia="Lora" w:hAnsi="Lora"/>
          <w:rtl w:val="0"/>
        </w:rPr>
        <w:t xml:space="preserve">L’innovazione sociale è sempre più integrata nei discorsi e nelle agende politiche, determinando le strategie di sviluppo locale. </w:t>
      </w:r>
    </w:p>
    <w:p w:rsidR="00000000" w:rsidDel="00000000" w:rsidP="00000000" w:rsidRDefault="00000000" w:rsidRPr="00000000" w14:paraId="00000023">
      <w:pPr>
        <w:jc w:val="both"/>
        <w:rPr>
          <w:rFonts w:ascii="Lora" w:cs="Lora" w:eastAsia="Lora" w:hAnsi="Lora"/>
        </w:rPr>
      </w:pPr>
      <w:r w:rsidDel="00000000" w:rsidR="00000000" w:rsidRPr="00000000">
        <w:rPr>
          <w:rFonts w:ascii="Lora" w:cs="Lora" w:eastAsia="Lora" w:hAnsi="Lora"/>
          <w:rtl w:val="0"/>
        </w:rPr>
        <w:t xml:space="preserve">Obiettivo del seminario-laboratoriale odierno è anche quello di confrontarsi ed immaginare una procedura di sistematizzazione per la creazione di capacità di sviluppo locale, contestualizzando le principali capacità da sviluppare in corrispondenza dei problemi da risolvere nell'attuazione del Piano di Sviluppo Locale del GAL Terre di Argil, e per il Lazio Meridionale in generale,  per raggiungere una performance efficiente e creativa degli attori locali individuali e collettivi.</w:t>
      </w:r>
    </w:p>
    <w:p w:rsidR="00000000" w:rsidDel="00000000" w:rsidP="00000000" w:rsidRDefault="00000000" w:rsidRPr="00000000" w14:paraId="00000024">
      <w:pPr>
        <w:jc w:val="both"/>
        <w:rPr>
          <w:rFonts w:ascii="Lora" w:cs="Lora" w:eastAsia="Lora" w:hAnsi="Lora"/>
          <w:sz w:val="18"/>
          <w:szCs w:val="18"/>
        </w:rPr>
      </w:pPr>
      <w:bookmarkStart w:colFirst="0" w:colLast="0" w:name="_heading=h.y7aeblv23iz" w:id="3"/>
      <w:bookmarkEnd w:id="3"/>
      <w:r w:rsidDel="00000000" w:rsidR="00000000" w:rsidRPr="00000000">
        <w:rPr>
          <w:rtl w:val="0"/>
        </w:rPr>
      </w:r>
    </w:p>
    <w:p w:rsidR="00000000" w:rsidDel="00000000" w:rsidP="00000000" w:rsidRDefault="00000000" w:rsidRPr="00000000" w14:paraId="00000025">
      <w:pPr>
        <w:jc w:val="both"/>
        <w:rPr>
          <w:rFonts w:ascii="Lora" w:cs="Lora" w:eastAsia="Lora" w:hAnsi="Lora"/>
        </w:rPr>
      </w:pPr>
      <w:bookmarkStart w:colFirst="0" w:colLast="0" w:name="_heading=h.gjdgxs" w:id="4"/>
      <w:bookmarkEnd w:id="4"/>
      <w:r w:rsidDel="00000000" w:rsidR="00000000" w:rsidRPr="00000000">
        <w:rPr>
          <w:rFonts w:ascii="Lora" w:cs="Lora" w:eastAsia="Lora" w:hAnsi="Lora"/>
          <w:rtl w:val="0"/>
        </w:rPr>
        <w:t xml:space="preserve">Si cercherà di individuare e definire i principi che sono alla base, nel processo di sviluppo rurale in fieri,  della necessità di sistematizzare la creazione di capacità di innovazione per la performance degli attori locali, sia individuali che collettivi; si proporrà contestualmente una chiave di interpretazione e di integrazione dei contenuti per definire le componenti delle capacità da sviluppare, ipotizzando  una procedura per sistematizzare la creazione e lo sviluppo delle capacità e al fine ultimo di individuare un approccio sistemico nel processo di innovazione sociale.</w:t>
      </w:r>
    </w:p>
    <w:sectPr>
      <w:headerReference r:id="rId7" w:type="default"/>
      <w:foot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-476249</wp:posOffset>
          </wp:positionH>
          <wp:positionV relativeFrom="paragraph">
            <wp:posOffset>-209549</wp:posOffset>
          </wp:positionV>
          <wp:extent cx="3037523" cy="373466"/>
          <wp:effectExtent b="0" l="0" r="0" t="0"/>
          <wp:wrapNone/>
          <wp:docPr id="2" name="image2.jpg"/>
          <a:graphic>
            <a:graphicData uri="http://schemas.openxmlformats.org/drawingml/2006/picture">
              <pic:pic>
                <pic:nvPicPr>
                  <pic:cNvPr id="0" name="image2.jpg"/>
                  <pic:cNvPicPr preferRelativeResize="0"/>
                </pic:nvPicPr>
                <pic:blipFill>
                  <a:blip r:embed="rId1"/>
                  <a:srcRect b="7423" l="1437" r="1223" t="9244"/>
                  <a:stretch>
                    <a:fillRect/>
                  </a:stretch>
                </pic:blipFill>
                <pic:spPr>
                  <a:xfrm>
                    <a:off x="0" y="0"/>
                    <a:ext cx="3037523" cy="37346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5486400</wp:posOffset>
          </wp:positionH>
          <wp:positionV relativeFrom="paragraph">
            <wp:posOffset>-335279</wp:posOffset>
          </wp:positionV>
          <wp:extent cx="1105853" cy="710905"/>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05853" cy="71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7042F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B6+BNj/oOJqbRw4aeMtdNXb7A==">CgMxLjAyDmguaDZ1amswbTdqam44Mg1oLnV3a2t2ejN3MWl3Mg5oLnVqanZlMWRwYWRtZjINaC55N2FlYmx2MjNpejIIaC5namRneHM4AHIhMXluRFVTd2pDQUZvTFpHUmRhWFQ3MDlGMnBBcHE4YTdF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2024-10-30T11:10:00Z</dcterms:created>
  <dc:creator>Chiara Lucia Guarino</dc:creator>
</cp:coreProperties>
</file>